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b/>
          <w:color w:val="FF0000"/>
          <w:spacing w:val="66"/>
          <w:w w:val="80"/>
          <w:sz w:val="94"/>
          <w:szCs w:val="94"/>
        </w:rPr>
      </w:pPr>
      <w:r>
        <w:rPr>
          <w:rFonts w:hint="eastAsia" w:ascii="方正小标宋简体" w:eastAsia="方正小标宋简体"/>
          <w:b/>
          <w:color w:val="FF0000"/>
          <w:spacing w:val="66"/>
          <w:w w:val="80"/>
          <w:sz w:val="94"/>
          <w:szCs w:val="94"/>
        </w:rPr>
        <w:t>漳 州 市 气 象 局</w:t>
      </w:r>
      <w:r>
        <w:rPr>
          <w:rFonts w:hint="eastAsia" w:ascii="仿宋_GB2312" w:eastAsia="仿宋_GB2312"/>
          <w:sz w:val="32"/>
          <w:szCs w:val="32"/>
        </w:rPr>
        <mc:AlternateContent>
          <mc:Choice Requires="wps">
            <w:drawing>
              <wp:anchor distT="0" distB="0" distL="114300" distR="114300" simplePos="0" relativeHeight="251659264" behindDoc="1" locked="0" layoutInCell="1" allowOverlap="1">
                <wp:simplePos x="0" y="0"/>
                <wp:positionH relativeFrom="column">
                  <wp:posOffset>-246380</wp:posOffset>
                </wp:positionH>
                <wp:positionV relativeFrom="page">
                  <wp:posOffset>2018665</wp:posOffset>
                </wp:positionV>
                <wp:extent cx="5615940" cy="0"/>
                <wp:effectExtent l="0" t="19050" r="3810" b="1905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19.4pt;margin-top:158.95pt;height:0pt;width:442.2pt;mso-position-vertical-relative:page;z-index:-251657216;mso-width-relative:page;mso-height-relative:page;" filled="f" stroked="t" coordsize="21600,21600" o:gfxdata="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tLHDvZAAAA&#10;CwEAAA8AAAAAAAAAAQAgAAAAOAAAAGRycy9kb3ducmV2LnhtbFBLAQIUABQAAAAIAIdO4kB8LTBM&#10;zQEAAGADAAAOAAAAAAAAAAEAIAAAAD4BAABkcnMvZTJvRG9jLnhtbFBLBQYAAAAABgAGAFkBAAB9&#10;BQAAAAA=&#10;">
                <v:fill on="f" focussize="0,0"/>
                <v:stroke weight="2.25pt" color="#FF0000" joinstyle="round"/>
                <v:imagedata o:title=""/>
                <o:lock v:ext="edit" aspectratio="f"/>
              </v:line>
            </w:pict>
          </mc:Fallback>
        </mc:AlternateContent>
      </w:r>
    </w:p>
    <w:p/>
    <w:p>
      <w:pPr>
        <w:rPr>
          <w:rFonts w:ascii="方正小标宋简体" w:eastAsia="方正小标宋简体"/>
          <w:sz w:val="36"/>
          <w:szCs w:val="36"/>
        </w:rPr>
      </w:pPr>
    </w:p>
    <w:p>
      <w:pPr>
        <w:pStyle w:val="7"/>
        <w:keepNext w:val="0"/>
        <w:keepLines w:val="0"/>
        <w:pageBreakBefore w:val="0"/>
        <w:widowControl w:val="0"/>
        <w:kinsoku/>
        <w:wordWrap/>
        <w:overflowPunct/>
        <w:topLinePunct w:val="0"/>
        <w:autoSpaceDE/>
        <w:autoSpaceDN/>
        <w:bidi w:val="0"/>
        <w:adjustRightInd/>
        <w:snapToGrid/>
        <w:spacing w:line="700" w:lineRule="exact"/>
        <w:ind w:left="420" w:firstLine="0" w:firstLineChars="0"/>
        <w:jc w:val="center"/>
        <w:textAlignment w:val="auto"/>
        <w:rPr>
          <w:rFonts w:ascii="方正小标宋简体" w:eastAsia="方正小标宋简体"/>
          <w:sz w:val="44"/>
          <w:szCs w:val="44"/>
        </w:rPr>
      </w:pPr>
      <w:r>
        <w:rPr>
          <w:rFonts w:hint="eastAsia" w:ascii="方正小标宋简体" w:eastAsia="方正小标宋简体"/>
          <w:sz w:val="44"/>
          <w:szCs w:val="44"/>
        </w:rPr>
        <w:t>漳州市气象部门202</w:t>
      </w:r>
      <w:r>
        <w:rPr>
          <w:rFonts w:hint="default" w:ascii="方正小标宋简体" w:eastAsia="方正小标宋简体"/>
          <w:sz w:val="44"/>
          <w:szCs w:val="44"/>
          <w:lang w:val="en"/>
        </w:rPr>
        <w:t>2</w:t>
      </w:r>
      <w:r>
        <w:rPr>
          <w:rFonts w:hint="eastAsia" w:ascii="方正小标宋简体" w:eastAsia="方正小标宋简体"/>
          <w:sz w:val="44"/>
          <w:szCs w:val="44"/>
        </w:rPr>
        <w:t>年内部审计</w:t>
      </w:r>
    </w:p>
    <w:p>
      <w:pPr>
        <w:pStyle w:val="7"/>
        <w:keepNext w:val="0"/>
        <w:keepLines w:val="0"/>
        <w:pageBreakBefore w:val="0"/>
        <w:widowControl w:val="0"/>
        <w:kinsoku/>
        <w:wordWrap/>
        <w:overflowPunct/>
        <w:topLinePunct w:val="0"/>
        <w:autoSpaceDE/>
        <w:autoSpaceDN/>
        <w:bidi w:val="0"/>
        <w:adjustRightInd/>
        <w:snapToGrid/>
        <w:spacing w:line="700" w:lineRule="exact"/>
        <w:ind w:left="420" w:firstLine="0" w:firstLineChars="0"/>
        <w:jc w:val="center"/>
        <w:textAlignment w:val="auto"/>
        <w:rPr>
          <w:rFonts w:ascii="方正小标宋简体" w:eastAsia="方正小标宋简体"/>
          <w:sz w:val="44"/>
          <w:szCs w:val="44"/>
        </w:rPr>
      </w:pPr>
      <w:r>
        <w:rPr>
          <w:rFonts w:hint="eastAsia" w:ascii="方正小标宋简体" w:eastAsia="方正小标宋简体"/>
          <w:sz w:val="44"/>
          <w:szCs w:val="44"/>
        </w:rPr>
        <w:t>委托审计询价通知书</w:t>
      </w:r>
    </w:p>
    <w:p>
      <w:pPr>
        <w:spacing w:line="560" w:lineRule="exact"/>
        <w:ind w:firstLine="480" w:firstLineChars="15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ascii="仿宋_GB2312" w:eastAsia="仿宋_GB2312"/>
          <w:sz w:val="32"/>
          <w:szCs w:val="32"/>
        </w:rPr>
      </w:pPr>
      <w:r>
        <w:rPr>
          <w:rFonts w:hint="eastAsia" w:ascii="仿宋_GB2312" w:eastAsia="仿宋_GB2312"/>
          <w:sz w:val="32"/>
          <w:szCs w:val="32"/>
        </w:rPr>
        <w:t>漳州市气象局内部审计委托审计服务项目邀请符合相应资格条件的服务供应商参与询价采购活动。</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ascii="黑体" w:eastAsia="黑体"/>
          <w:sz w:val="32"/>
          <w:szCs w:val="32"/>
        </w:rPr>
      </w:pPr>
      <w:r>
        <w:rPr>
          <w:rFonts w:hint="eastAsia" w:ascii="黑体" w:eastAsia="黑体"/>
          <w:sz w:val="32"/>
          <w:szCs w:val="32"/>
        </w:rPr>
        <w:t>一、项目概况</w:t>
      </w:r>
    </w:p>
    <w:p>
      <w:pPr>
        <w:keepNext w:val="0"/>
        <w:keepLines w:val="0"/>
        <w:pageBreakBefore w:val="0"/>
        <w:widowControl w:val="0"/>
        <w:kinsoku/>
        <w:wordWrap/>
        <w:overflowPunct/>
        <w:topLinePunct w:val="0"/>
        <w:autoSpaceDE/>
        <w:autoSpaceDN/>
        <w:bidi w:val="0"/>
        <w:spacing w:line="580" w:lineRule="exact"/>
        <w:ind w:left="420"/>
        <w:textAlignment w:val="auto"/>
        <w:rPr>
          <w:rFonts w:ascii="仿宋_GB2312" w:eastAsia="仿宋_GB2312"/>
          <w:sz w:val="32"/>
          <w:szCs w:val="32"/>
        </w:rPr>
      </w:pPr>
      <w:r>
        <w:rPr>
          <w:rFonts w:hint="eastAsia" w:ascii="仿宋_GB2312" w:eastAsia="仿宋_GB2312"/>
          <w:sz w:val="32"/>
          <w:szCs w:val="32"/>
        </w:rPr>
        <w:t>1.项目名称：漳州市气象部门202</w:t>
      </w:r>
      <w:r>
        <w:rPr>
          <w:rFonts w:hint="default" w:ascii="仿宋_GB2312" w:eastAsia="仿宋_GB2312"/>
          <w:sz w:val="32"/>
          <w:szCs w:val="32"/>
          <w:lang w:val="en"/>
        </w:rPr>
        <w:t>2</w:t>
      </w:r>
      <w:r>
        <w:rPr>
          <w:rFonts w:hint="eastAsia" w:ascii="仿宋_GB2312" w:eastAsia="仿宋_GB2312"/>
          <w:sz w:val="32"/>
          <w:szCs w:val="32"/>
        </w:rPr>
        <w:t>年内部审计委托审计</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ascii="仿宋_GB2312" w:eastAsia="仿宋_GB2312"/>
          <w:sz w:val="32"/>
          <w:szCs w:val="32"/>
        </w:rPr>
      </w:pPr>
      <w:r>
        <w:rPr>
          <w:rFonts w:hint="eastAsia" w:ascii="仿宋_GB2312" w:eastAsia="仿宋_GB2312"/>
          <w:sz w:val="32"/>
          <w:szCs w:val="32"/>
        </w:rPr>
        <w:t>2.项目内容及主要需求</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lang w:eastAsia="zh-CN"/>
        </w:rPr>
        <w:t>华安县</w:t>
      </w:r>
      <w:r>
        <w:rPr>
          <w:rFonts w:hint="eastAsia" w:ascii="仿宋_GB2312" w:eastAsia="仿宋_GB2312"/>
          <w:sz w:val="32"/>
          <w:szCs w:val="32"/>
        </w:rPr>
        <w:t xml:space="preserve">气象局   </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ascii="仿宋_GB2312" w:eastAsia="仿宋_GB2312"/>
          <w:sz w:val="32"/>
          <w:szCs w:val="32"/>
        </w:rPr>
      </w:pPr>
      <w:r>
        <w:rPr>
          <w:rFonts w:hint="eastAsia" w:ascii="仿宋_GB2312" w:eastAsia="仿宋_GB2312"/>
          <w:sz w:val="32"/>
          <w:szCs w:val="32"/>
        </w:rPr>
        <w:t>财务收支审计（201</w:t>
      </w:r>
      <w:r>
        <w:rPr>
          <w:rFonts w:hint="eastAsia" w:ascii="仿宋_GB2312" w:eastAsia="仿宋_GB2312"/>
          <w:sz w:val="32"/>
          <w:szCs w:val="32"/>
          <w:lang w:val="en-US" w:eastAsia="zh-CN"/>
        </w:rPr>
        <w:t>9</w:t>
      </w:r>
      <w:r>
        <w:rPr>
          <w:rFonts w:hint="eastAsia" w:ascii="仿宋_GB2312" w:eastAsia="仿宋_GB2312"/>
          <w:sz w:val="32"/>
          <w:szCs w:val="32"/>
        </w:rPr>
        <w:t>.01～202</w:t>
      </w:r>
      <w:r>
        <w:rPr>
          <w:rFonts w:hint="eastAsia" w:ascii="仿宋_GB2312" w:eastAsia="仿宋_GB2312"/>
          <w:sz w:val="32"/>
          <w:szCs w:val="32"/>
          <w:lang w:val="en-US" w:eastAsia="zh-CN"/>
        </w:rPr>
        <w:t>1</w:t>
      </w:r>
      <w:r>
        <w:rPr>
          <w:rFonts w:hint="eastAsia" w:ascii="仿宋_GB2312" w:eastAsia="仿宋_GB2312"/>
          <w:sz w:val="32"/>
          <w:szCs w:val="32"/>
        </w:rPr>
        <w:t>.12）</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 xml:space="preserve">漳州热带作物气象试验站  </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ascii="仿宋_GB2312" w:eastAsia="仿宋_GB2312"/>
          <w:sz w:val="32"/>
          <w:szCs w:val="32"/>
        </w:rPr>
      </w:pPr>
      <w:r>
        <w:rPr>
          <w:rFonts w:hint="eastAsia" w:ascii="仿宋_GB2312" w:eastAsia="仿宋_GB2312"/>
          <w:sz w:val="32"/>
          <w:szCs w:val="32"/>
        </w:rPr>
        <w:t>财务收支审计（2019.01～202</w:t>
      </w:r>
      <w:r>
        <w:rPr>
          <w:rFonts w:hint="eastAsia" w:ascii="仿宋_GB2312" w:eastAsia="仿宋_GB2312"/>
          <w:sz w:val="32"/>
          <w:szCs w:val="32"/>
          <w:lang w:val="en-US" w:eastAsia="zh-CN"/>
        </w:rPr>
        <w:t>1</w:t>
      </w:r>
      <w:r>
        <w:rPr>
          <w:rFonts w:hint="eastAsia" w:ascii="仿宋_GB2312" w:eastAsia="仿宋_GB2312"/>
          <w:sz w:val="32"/>
          <w:szCs w:val="32"/>
        </w:rPr>
        <w:t>.12）</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ascii="仿宋_GB2312" w:eastAsia="仿宋_GB2312"/>
          <w:sz w:val="32"/>
          <w:szCs w:val="32"/>
        </w:rPr>
      </w:pPr>
      <w:r>
        <w:rPr>
          <w:rFonts w:hint="eastAsia" w:ascii="仿宋_GB2312" w:eastAsia="仿宋_GB2312"/>
          <w:sz w:val="32"/>
          <w:szCs w:val="32"/>
        </w:rPr>
        <w:t>3．审计方式：实地现场审计，如受疫情影响无法现场实地审计，需双方协商变更审计方式。</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ascii="黑体" w:eastAsia="黑体"/>
          <w:sz w:val="32"/>
          <w:szCs w:val="32"/>
        </w:rPr>
      </w:pPr>
      <w:r>
        <w:rPr>
          <w:rFonts w:hint="eastAsia" w:ascii="仿宋_GB2312" w:eastAsia="仿宋_GB2312"/>
          <w:sz w:val="32"/>
          <w:szCs w:val="32"/>
        </w:rPr>
        <w:t>服务要求：审计服务供应商应本着客观、公正、公平的原则，正确履行审核职责。</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ascii="黑体" w:eastAsia="黑体"/>
          <w:sz w:val="32"/>
          <w:szCs w:val="32"/>
        </w:rPr>
      </w:pPr>
      <w:r>
        <w:rPr>
          <w:rFonts w:hint="eastAsia" w:ascii="黑体" w:eastAsia="黑体"/>
          <w:sz w:val="32"/>
          <w:szCs w:val="32"/>
        </w:rPr>
        <w:t>二、审计单位主要情况</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ascii="仿宋_GB2312" w:eastAsia="仿宋_GB2312"/>
          <w:sz w:val="32"/>
          <w:szCs w:val="32"/>
        </w:rPr>
      </w:pPr>
      <w:r>
        <w:rPr>
          <w:rFonts w:hint="eastAsia" w:ascii="仿宋_GB2312" w:eastAsia="仿宋_GB2312"/>
          <w:sz w:val="32"/>
          <w:szCs w:val="32"/>
        </w:rPr>
        <w:t>（一）各审计项目单位主要情况（如下表）</w:t>
      </w:r>
    </w:p>
    <w:tbl>
      <w:tblPr>
        <w:tblStyle w:val="5"/>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4"/>
        <w:gridCol w:w="1134"/>
        <w:gridCol w:w="1929"/>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74" w:type="dxa"/>
            <w:vAlign w:val="center"/>
          </w:tcPr>
          <w:p>
            <w:pPr>
              <w:spacing w:line="560" w:lineRule="exact"/>
              <w:jc w:val="center"/>
              <w:rPr>
                <w:rFonts w:ascii="华文楷体" w:hAnsi="华文楷体" w:eastAsia="华文楷体"/>
                <w:b/>
                <w:bCs/>
                <w:sz w:val="24"/>
              </w:rPr>
            </w:pPr>
            <w:r>
              <w:rPr>
                <w:rFonts w:hint="eastAsia" w:ascii="华文楷体" w:hAnsi="华文楷体" w:eastAsia="华文楷体"/>
                <w:b/>
                <w:bCs/>
                <w:sz w:val="24"/>
              </w:rPr>
              <w:t>被审计</w:t>
            </w:r>
          </w:p>
          <w:p>
            <w:pPr>
              <w:spacing w:line="560" w:lineRule="exact"/>
              <w:jc w:val="center"/>
              <w:rPr>
                <w:rFonts w:ascii="华文楷体" w:hAnsi="华文楷体" w:eastAsia="华文楷体"/>
                <w:b/>
                <w:bCs/>
                <w:sz w:val="24"/>
              </w:rPr>
            </w:pPr>
            <w:r>
              <w:rPr>
                <w:rFonts w:hint="eastAsia" w:ascii="华文楷体" w:hAnsi="华文楷体" w:eastAsia="华文楷体"/>
                <w:b/>
                <w:bCs/>
                <w:sz w:val="24"/>
              </w:rPr>
              <w:t>单  位</w:t>
            </w:r>
          </w:p>
        </w:tc>
        <w:tc>
          <w:tcPr>
            <w:tcW w:w="1134" w:type="dxa"/>
            <w:vAlign w:val="center"/>
          </w:tcPr>
          <w:p>
            <w:pPr>
              <w:spacing w:line="560" w:lineRule="exact"/>
              <w:jc w:val="center"/>
              <w:rPr>
                <w:rFonts w:ascii="华文楷体" w:hAnsi="华文楷体" w:eastAsia="华文楷体"/>
                <w:b/>
                <w:bCs/>
                <w:sz w:val="24"/>
              </w:rPr>
            </w:pPr>
            <w:r>
              <w:rPr>
                <w:rFonts w:hint="eastAsia" w:ascii="华文楷体" w:hAnsi="华文楷体" w:eastAsia="华文楷体"/>
                <w:b/>
                <w:bCs/>
                <w:sz w:val="24"/>
              </w:rPr>
              <w:t>单位</w:t>
            </w:r>
          </w:p>
          <w:p>
            <w:pPr>
              <w:spacing w:line="560" w:lineRule="exact"/>
              <w:jc w:val="center"/>
              <w:rPr>
                <w:rFonts w:ascii="华文楷体" w:hAnsi="华文楷体" w:eastAsia="华文楷体"/>
                <w:b/>
                <w:bCs/>
                <w:sz w:val="24"/>
              </w:rPr>
            </w:pPr>
            <w:r>
              <w:rPr>
                <w:rFonts w:hint="eastAsia" w:ascii="华文楷体" w:hAnsi="华文楷体" w:eastAsia="华文楷体"/>
                <w:b/>
                <w:bCs/>
                <w:sz w:val="24"/>
              </w:rPr>
              <w:t>性质</w:t>
            </w:r>
          </w:p>
        </w:tc>
        <w:tc>
          <w:tcPr>
            <w:tcW w:w="1929" w:type="dxa"/>
            <w:vAlign w:val="center"/>
          </w:tcPr>
          <w:p>
            <w:pPr>
              <w:spacing w:line="560" w:lineRule="exact"/>
              <w:jc w:val="center"/>
              <w:rPr>
                <w:rFonts w:ascii="华文楷体" w:hAnsi="华文楷体" w:eastAsia="华文楷体"/>
                <w:b/>
                <w:bCs/>
                <w:sz w:val="24"/>
              </w:rPr>
            </w:pPr>
            <w:r>
              <w:rPr>
                <w:rFonts w:hint="eastAsia" w:ascii="华文楷体" w:hAnsi="华文楷体" w:eastAsia="华文楷体"/>
                <w:b/>
                <w:bCs/>
                <w:sz w:val="24"/>
              </w:rPr>
              <w:t>资金来源</w:t>
            </w:r>
          </w:p>
        </w:tc>
        <w:tc>
          <w:tcPr>
            <w:tcW w:w="3431" w:type="dxa"/>
            <w:vAlign w:val="center"/>
          </w:tcPr>
          <w:p>
            <w:pPr>
              <w:spacing w:line="560" w:lineRule="exact"/>
              <w:jc w:val="center"/>
              <w:rPr>
                <w:rFonts w:ascii="华文楷体" w:hAnsi="华文楷体" w:eastAsia="华文楷体"/>
                <w:b/>
                <w:bCs/>
                <w:sz w:val="24"/>
              </w:rPr>
            </w:pPr>
            <w:r>
              <w:rPr>
                <w:rFonts w:hint="eastAsia" w:ascii="华文楷体" w:hAnsi="华文楷体" w:eastAsia="华文楷体"/>
                <w:b/>
                <w:sz w:val="24"/>
              </w:rPr>
              <w:t>主要业务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74"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lang w:eastAsia="zh-CN"/>
              </w:rPr>
              <w:t>华安县</w:t>
            </w:r>
            <w:r>
              <w:rPr>
                <w:rFonts w:hint="eastAsia" w:ascii="华文楷体" w:hAnsi="华文楷体" w:eastAsia="华文楷体"/>
                <w:szCs w:val="21"/>
              </w:rPr>
              <w:t>气象局</w:t>
            </w:r>
          </w:p>
        </w:tc>
        <w:tc>
          <w:tcPr>
            <w:tcW w:w="1134"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事业单位</w:t>
            </w:r>
          </w:p>
        </w:tc>
        <w:tc>
          <w:tcPr>
            <w:tcW w:w="1929" w:type="dxa"/>
            <w:vAlign w:val="center"/>
          </w:tcPr>
          <w:p>
            <w:pPr>
              <w:spacing w:line="560" w:lineRule="exact"/>
              <w:rPr>
                <w:rFonts w:ascii="华文楷体" w:hAnsi="华文楷体" w:eastAsia="华文楷体"/>
                <w:sz w:val="20"/>
                <w:szCs w:val="20"/>
              </w:rPr>
            </w:pPr>
            <w:r>
              <w:rPr>
                <w:rFonts w:hint="eastAsia" w:ascii="华文楷体" w:hAnsi="华文楷体" w:eastAsia="华文楷体"/>
                <w:snapToGrid w:val="0"/>
                <w:sz w:val="20"/>
                <w:szCs w:val="20"/>
              </w:rPr>
              <w:t>中央和地方财政补助收入</w:t>
            </w:r>
          </w:p>
        </w:tc>
        <w:tc>
          <w:tcPr>
            <w:tcW w:w="3431" w:type="dxa"/>
            <w:vAlign w:val="center"/>
          </w:tcPr>
          <w:p>
            <w:pPr>
              <w:spacing w:line="560" w:lineRule="exact"/>
              <w:jc w:val="center"/>
              <w:rPr>
                <w:rFonts w:ascii="华文楷体" w:hAnsi="华文楷体" w:eastAsia="华文楷体"/>
                <w:sz w:val="18"/>
                <w:szCs w:val="18"/>
              </w:rPr>
            </w:pPr>
            <w:r>
              <w:rPr>
                <w:rFonts w:hint="eastAsia" w:ascii="华文楷体" w:hAnsi="华文楷体" w:eastAsia="华文楷体"/>
                <w:sz w:val="18"/>
                <w:szCs w:val="18"/>
              </w:rPr>
              <w:t>负责本区域</w:t>
            </w:r>
            <w:r>
              <w:rPr>
                <w:rFonts w:hint="eastAsia" w:ascii="华文楷体" w:hAnsi="华文楷体" w:eastAsia="华文楷体" w:cs="宋体"/>
                <w:kern w:val="0"/>
                <w:sz w:val="18"/>
                <w:szCs w:val="18"/>
                <w:lang w:val="zh-CN"/>
              </w:rPr>
              <w:t>业务管理、气象服务、预警预报等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74" w:type="dxa"/>
            <w:vAlign w:val="center"/>
          </w:tcPr>
          <w:p>
            <w:pPr>
              <w:spacing w:line="560" w:lineRule="exact"/>
              <w:jc w:val="center"/>
              <w:rPr>
                <w:rFonts w:ascii="华文楷体" w:hAnsi="华文楷体" w:eastAsia="华文楷体"/>
                <w:color w:val="000000"/>
                <w:szCs w:val="21"/>
              </w:rPr>
            </w:pPr>
            <w:r>
              <w:rPr>
                <w:rFonts w:hint="eastAsia" w:ascii="华文楷体" w:hAnsi="华文楷体" w:eastAsia="华文楷体"/>
                <w:szCs w:val="21"/>
              </w:rPr>
              <w:t>漳州热带作物气象试验站</w:t>
            </w:r>
          </w:p>
        </w:tc>
        <w:tc>
          <w:tcPr>
            <w:tcW w:w="1134"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事业单位</w:t>
            </w:r>
          </w:p>
        </w:tc>
        <w:tc>
          <w:tcPr>
            <w:tcW w:w="1929" w:type="dxa"/>
            <w:vAlign w:val="center"/>
          </w:tcPr>
          <w:p>
            <w:pPr>
              <w:spacing w:line="560" w:lineRule="exact"/>
              <w:rPr>
                <w:rFonts w:ascii="华文楷体" w:hAnsi="华文楷体" w:eastAsia="华文楷体"/>
                <w:sz w:val="20"/>
                <w:szCs w:val="20"/>
              </w:rPr>
            </w:pPr>
            <w:r>
              <w:rPr>
                <w:rFonts w:hint="eastAsia" w:ascii="华文楷体" w:hAnsi="华文楷体" w:eastAsia="华文楷体"/>
                <w:snapToGrid w:val="0"/>
                <w:sz w:val="20"/>
                <w:szCs w:val="20"/>
              </w:rPr>
              <w:t>中央和地方财政补助收入</w:t>
            </w:r>
          </w:p>
        </w:tc>
        <w:tc>
          <w:tcPr>
            <w:tcW w:w="3431" w:type="dxa"/>
            <w:vAlign w:val="center"/>
          </w:tcPr>
          <w:p>
            <w:pPr>
              <w:spacing w:line="560" w:lineRule="exact"/>
              <w:jc w:val="center"/>
              <w:rPr>
                <w:rFonts w:hint="eastAsia" w:ascii="华文楷体" w:hAnsi="华文楷体" w:eastAsia="华文楷体"/>
                <w:sz w:val="18"/>
                <w:szCs w:val="18"/>
                <w:lang w:eastAsia="zh-CN"/>
              </w:rPr>
            </w:pPr>
            <w:r>
              <w:rPr>
                <w:rFonts w:hint="eastAsia" w:ascii="华文楷体" w:hAnsi="华文楷体" w:eastAsia="华文楷体"/>
                <w:sz w:val="18"/>
                <w:szCs w:val="18"/>
                <w:lang w:eastAsia="zh-CN"/>
              </w:rPr>
              <w:t>农业气象观测、服务试验与研究等</w:t>
            </w:r>
          </w:p>
        </w:tc>
      </w:tr>
    </w:tbl>
    <w:p>
      <w:pPr>
        <w:spacing w:line="560" w:lineRule="exact"/>
        <w:ind w:firstLine="480" w:firstLineChars="150"/>
        <w:rPr>
          <w:rFonts w:ascii="楷体_GB2312" w:hAnsi="宋体" w:eastAsia="楷体_GB2312" w:cs="仿宋_GB2312"/>
          <w:b/>
          <w:sz w:val="32"/>
          <w:szCs w:val="32"/>
        </w:rPr>
      </w:pPr>
      <w:r>
        <w:rPr>
          <w:rFonts w:hint="eastAsia" w:ascii="仿宋_GB2312" w:eastAsia="仿宋_GB2312"/>
          <w:sz w:val="32"/>
          <w:szCs w:val="32"/>
        </w:rPr>
        <w:t>（二）各审计项目类型、资产总额和资金总量（如下表）</w:t>
      </w:r>
    </w:p>
    <w:p>
      <w:pPr>
        <w:adjustRightInd w:val="0"/>
        <w:snapToGrid w:val="0"/>
        <w:spacing w:line="560" w:lineRule="exact"/>
        <w:ind w:firstLine="6747" w:firstLineChars="3213"/>
        <w:jc w:val="left"/>
        <w:rPr>
          <w:rFonts w:ascii="华文楷体" w:hAnsi="华文楷体" w:eastAsia="华文楷体"/>
          <w:szCs w:val="21"/>
        </w:rPr>
      </w:pPr>
      <w:r>
        <w:rPr>
          <w:rFonts w:hint="eastAsia" w:ascii="华文楷体" w:hAnsi="华文楷体" w:eastAsia="华文楷体"/>
          <w:szCs w:val="21"/>
        </w:rPr>
        <w:t>单位：万元</w:t>
      </w:r>
    </w:p>
    <w:tbl>
      <w:tblPr>
        <w:tblStyle w:val="5"/>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2016"/>
        <w:gridCol w:w="1451"/>
        <w:gridCol w:w="1665"/>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89" w:type="dxa"/>
            <w:vAlign w:val="center"/>
          </w:tcPr>
          <w:p>
            <w:pPr>
              <w:spacing w:line="560" w:lineRule="exact"/>
              <w:jc w:val="center"/>
              <w:rPr>
                <w:rFonts w:ascii="华文楷体" w:hAnsi="华文楷体" w:eastAsia="华文楷体"/>
                <w:b/>
                <w:bCs/>
                <w:sz w:val="28"/>
                <w:szCs w:val="28"/>
              </w:rPr>
            </w:pPr>
            <w:r>
              <w:rPr>
                <w:rFonts w:hint="eastAsia" w:ascii="华文楷体" w:hAnsi="华文楷体" w:eastAsia="华文楷体"/>
                <w:b/>
                <w:bCs/>
                <w:sz w:val="28"/>
                <w:szCs w:val="28"/>
              </w:rPr>
              <w:t>被审计</w:t>
            </w:r>
          </w:p>
          <w:p>
            <w:pPr>
              <w:spacing w:line="560" w:lineRule="exact"/>
              <w:jc w:val="center"/>
              <w:rPr>
                <w:rFonts w:ascii="华文楷体" w:hAnsi="华文楷体" w:eastAsia="华文楷体"/>
                <w:b/>
                <w:bCs/>
                <w:sz w:val="28"/>
                <w:szCs w:val="28"/>
              </w:rPr>
            </w:pPr>
            <w:r>
              <w:rPr>
                <w:rFonts w:hint="eastAsia" w:ascii="华文楷体" w:hAnsi="华文楷体" w:eastAsia="华文楷体"/>
                <w:b/>
                <w:bCs/>
                <w:sz w:val="28"/>
                <w:szCs w:val="28"/>
              </w:rPr>
              <w:t>单  位</w:t>
            </w:r>
          </w:p>
        </w:tc>
        <w:tc>
          <w:tcPr>
            <w:tcW w:w="2016" w:type="dxa"/>
            <w:vAlign w:val="center"/>
          </w:tcPr>
          <w:p>
            <w:pPr>
              <w:spacing w:line="560" w:lineRule="exact"/>
              <w:jc w:val="center"/>
              <w:rPr>
                <w:rFonts w:ascii="华文楷体" w:hAnsi="华文楷体" w:eastAsia="华文楷体"/>
                <w:b/>
                <w:bCs/>
                <w:sz w:val="28"/>
                <w:szCs w:val="28"/>
              </w:rPr>
            </w:pPr>
            <w:r>
              <w:rPr>
                <w:rFonts w:hint="eastAsia" w:ascii="华文楷体" w:hAnsi="华文楷体" w:eastAsia="华文楷体"/>
                <w:b/>
                <w:bCs/>
                <w:sz w:val="28"/>
                <w:szCs w:val="28"/>
              </w:rPr>
              <w:t>审计期间</w:t>
            </w:r>
          </w:p>
        </w:tc>
        <w:tc>
          <w:tcPr>
            <w:tcW w:w="1451" w:type="dxa"/>
            <w:vAlign w:val="center"/>
          </w:tcPr>
          <w:p>
            <w:pPr>
              <w:spacing w:line="560" w:lineRule="exact"/>
              <w:jc w:val="center"/>
              <w:rPr>
                <w:rFonts w:ascii="华文楷体" w:hAnsi="华文楷体" w:eastAsia="华文楷体"/>
                <w:b/>
                <w:bCs/>
                <w:sz w:val="28"/>
                <w:szCs w:val="28"/>
              </w:rPr>
            </w:pPr>
            <w:r>
              <w:rPr>
                <w:rFonts w:hint="eastAsia" w:ascii="华文楷体" w:hAnsi="华文楷体" w:eastAsia="华文楷体"/>
                <w:b/>
                <w:sz w:val="28"/>
                <w:szCs w:val="28"/>
              </w:rPr>
              <w:t>年收入额</w:t>
            </w:r>
          </w:p>
        </w:tc>
        <w:tc>
          <w:tcPr>
            <w:tcW w:w="1665" w:type="dxa"/>
            <w:vAlign w:val="center"/>
          </w:tcPr>
          <w:p>
            <w:pPr>
              <w:spacing w:line="560" w:lineRule="exact"/>
              <w:jc w:val="center"/>
              <w:rPr>
                <w:rFonts w:ascii="华文楷体" w:hAnsi="华文楷体" w:eastAsia="华文楷体"/>
                <w:b/>
                <w:bCs/>
                <w:sz w:val="28"/>
                <w:szCs w:val="28"/>
              </w:rPr>
            </w:pPr>
            <w:r>
              <w:rPr>
                <w:rFonts w:hint="eastAsia" w:ascii="华文楷体" w:hAnsi="华文楷体" w:eastAsia="华文楷体"/>
                <w:b/>
                <w:sz w:val="28"/>
                <w:szCs w:val="28"/>
              </w:rPr>
              <w:t>资产总额</w:t>
            </w:r>
          </w:p>
        </w:tc>
        <w:tc>
          <w:tcPr>
            <w:tcW w:w="1910" w:type="dxa"/>
            <w:vAlign w:val="center"/>
          </w:tcPr>
          <w:p>
            <w:pPr>
              <w:spacing w:line="560" w:lineRule="exact"/>
              <w:rPr>
                <w:rFonts w:ascii="华文楷体" w:hAnsi="华文楷体" w:eastAsia="华文楷体"/>
                <w:b/>
                <w:bCs/>
                <w:sz w:val="24"/>
              </w:rPr>
            </w:pPr>
            <w:r>
              <w:rPr>
                <w:rFonts w:hint="eastAsia" w:ascii="华文楷体" w:hAnsi="华文楷体" w:eastAsia="华文楷体"/>
                <w:b/>
                <w:bCs/>
                <w:sz w:val="24"/>
              </w:rPr>
              <w:t>其中：固定</w:t>
            </w:r>
          </w:p>
          <w:p>
            <w:pPr>
              <w:spacing w:line="560" w:lineRule="exact"/>
              <w:ind w:firstLine="235" w:firstLineChars="98"/>
              <w:rPr>
                <w:rFonts w:ascii="华文楷体" w:hAnsi="华文楷体" w:eastAsia="华文楷体"/>
                <w:b/>
                <w:bCs/>
                <w:sz w:val="28"/>
                <w:szCs w:val="28"/>
              </w:rPr>
            </w:pPr>
            <w:r>
              <w:rPr>
                <w:rFonts w:hint="eastAsia" w:ascii="华文楷体" w:hAnsi="华文楷体" w:eastAsia="华文楷体"/>
                <w:b/>
                <w:bCs/>
                <w:sz w:val="24"/>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489"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lang w:eastAsia="zh-CN"/>
              </w:rPr>
              <w:t>华安县</w:t>
            </w:r>
            <w:r>
              <w:rPr>
                <w:rFonts w:hint="eastAsia" w:ascii="华文楷体" w:hAnsi="华文楷体" w:eastAsia="华文楷体"/>
                <w:szCs w:val="21"/>
              </w:rPr>
              <w:t>气象局</w:t>
            </w:r>
          </w:p>
        </w:tc>
        <w:tc>
          <w:tcPr>
            <w:tcW w:w="2016" w:type="dxa"/>
            <w:vAlign w:val="center"/>
          </w:tcPr>
          <w:p>
            <w:pPr>
              <w:spacing w:line="560" w:lineRule="exact"/>
              <w:jc w:val="center"/>
              <w:rPr>
                <w:rFonts w:ascii="华文楷体" w:hAnsi="华文楷体" w:eastAsia="华文楷体"/>
                <w:sz w:val="24"/>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.01～202</w:t>
            </w:r>
            <w:r>
              <w:rPr>
                <w:rFonts w:hint="eastAsia" w:ascii="仿宋_GB2312" w:eastAsia="仿宋_GB2312"/>
                <w:sz w:val="24"/>
                <w:lang w:val="en-US" w:eastAsia="zh-CN"/>
              </w:rPr>
              <w:t>1</w:t>
            </w:r>
            <w:r>
              <w:rPr>
                <w:rFonts w:hint="eastAsia" w:ascii="仿宋_GB2312" w:eastAsia="仿宋_GB2312"/>
                <w:sz w:val="24"/>
              </w:rPr>
              <w:t>.12</w:t>
            </w:r>
          </w:p>
        </w:tc>
        <w:tc>
          <w:tcPr>
            <w:tcW w:w="1451" w:type="dxa"/>
            <w:vAlign w:val="center"/>
          </w:tcPr>
          <w:p>
            <w:pPr>
              <w:spacing w:line="560" w:lineRule="exact"/>
              <w:jc w:val="center"/>
              <w:rPr>
                <w:rFonts w:hint="default" w:ascii="华文楷体" w:hAnsi="华文楷体" w:eastAsia="华文楷体"/>
                <w:sz w:val="24"/>
                <w:lang w:val="en-US" w:eastAsia="zh-CN"/>
              </w:rPr>
            </w:pPr>
            <w:r>
              <w:rPr>
                <w:rFonts w:hint="eastAsia" w:ascii="华文楷体" w:hAnsi="华文楷体" w:eastAsia="华文楷体"/>
                <w:sz w:val="24"/>
                <w:lang w:val="en-US" w:eastAsia="zh-CN"/>
              </w:rPr>
              <w:t>488.19</w:t>
            </w:r>
            <w:r>
              <w:rPr>
                <w:rFonts w:hint="eastAsia" w:ascii="华文楷体" w:hAnsi="华文楷体" w:eastAsia="华文楷体"/>
                <w:sz w:val="24"/>
              </w:rPr>
              <w:t>、</w:t>
            </w:r>
            <w:r>
              <w:rPr>
                <w:rFonts w:hint="eastAsia" w:ascii="华文楷体" w:hAnsi="华文楷体" w:eastAsia="华文楷体"/>
                <w:sz w:val="24"/>
                <w:lang w:val="en-US" w:eastAsia="zh-CN"/>
              </w:rPr>
              <w:t>212.34、</w:t>
            </w:r>
          </w:p>
          <w:p>
            <w:pPr>
              <w:spacing w:line="560" w:lineRule="exact"/>
              <w:jc w:val="center"/>
              <w:rPr>
                <w:rFonts w:hint="default" w:ascii="华文楷体" w:hAnsi="华文楷体" w:eastAsia="华文楷体"/>
                <w:sz w:val="24"/>
                <w:lang w:val="en-US"/>
              </w:rPr>
            </w:pPr>
            <w:r>
              <w:rPr>
                <w:rFonts w:hint="eastAsia" w:ascii="华文楷体" w:hAnsi="华文楷体" w:eastAsia="华文楷体"/>
                <w:color w:val="000000"/>
                <w:sz w:val="24"/>
                <w:lang w:val="en-US" w:eastAsia="zh-CN"/>
              </w:rPr>
              <w:t>203.27</w:t>
            </w:r>
          </w:p>
        </w:tc>
        <w:tc>
          <w:tcPr>
            <w:tcW w:w="1665" w:type="dxa"/>
            <w:vAlign w:val="center"/>
          </w:tcPr>
          <w:p>
            <w:pPr>
              <w:spacing w:line="560" w:lineRule="exact"/>
              <w:jc w:val="center"/>
              <w:rPr>
                <w:rFonts w:hint="eastAsia" w:ascii="华文楷体" w:hAnsi="华文楷体" w:eastAsia="华文楷体"/>
                <w:sz w:val="24"/>
                <w:highlight w:val="none"/>
                <w:lang w:val="en-US" w:eastAsia="zh-CN"/>
              </w:rPr>
            </w:pPr>
            <w:r>
              <w:rPr>
                <w:rFonts w:hint="eastAsia" w:ascii="华文楷体" w:hAnsi="华文楷体" w:eastAsia="华文楷体"/>
                <w:sz w:val="24"/>
                <w:highlight w:val="none"/>
                <w:lang w:val="en-US" w:eastAsia="zh-CN"/>
              </w:rPr>
              <w:t>584.79、569.41、</w:t>
            </w:r>
          </w:p>
          <w:p>
            <w:pPr>
              <w:spacing w:line="560" w:lineRule="exact"/>
              <w:jc w:val="center"/>
              <w:rPr>
                <w:rFonts w:hint="default" w:ascii="华文楷体" w:hAnsi="华文楷体" w:eastAsia="华文楷体"/>
                <w:sz w:val="24"/>
                <w:lang w:val="en-US"/>
              </w:rPr>
            </w:pPr>
            <w:r>
              <w:rPr>
                <w:rFonts w:hint="eastAsia" w:ascii="华文楷体" w:hAnsi="华文楷体" w:eastAsia="华文楷体"/>
                <w:sz w:val="24"/>
                <w:highlight w:val="none"/>
                <w:lang w:val="en-US" w:eastAsia="zh-CN"/>
              </w:rPr>
              <w:t>500.84</w:t>
            </w:r>
          </w:p>
        </w:tc>
        <w:tc>
          <w:tcPr>
            <w:tcW w:w="1910" w:type="dxa"/>
            <w:vAlign w:val="center"/>
          </w:tcPr>
          <w:p>
            <w:pPr>
              <w:spacing w:line="560" w:lineRule="exact"/>
              <w:jc w:val="center"/>
              <w:rPr>
                <w:rFonts w:ascii="华文楷体" w:hAnsi="华文楷体" w:eastAsia="华文楷体"/>
                <w:sz w:val="24"/>
              </w:rPr>
            </w:pPr>
            <w:r>
              <w:rPr>
                <w:rFonts w:hint="eastAsia" w:ascii="华文楷体" w:hAnsi="华文楷体" w:eastAsia="华文楷体"/>
                <w:sz w:val="24"/>
                <w:lang w:val="en-US" w:eastAsia="zh-CN"/>
              </w:rPr>
              <w:t>135.24</w:t>
            </w:r>
            <w:r>
              <w:rPr>
                <w:rFonts w:hint="eastAsia" w:ascii="华文楷体" w:hAnsi="华文楷体" w:eastAsia="华文楷体"/>
                <w:sz w:val="24"/>
              </w:rPr>
              <w:t>、</w:t>
            </w:r>
          </w:p>
          <w:p>
            <w:pPr>
              <w:spacing w:line="560" w:lineRule="exact"/>
              <w:jc w:val="center"/>
              <w:rPr>
                <w:rFonts w:hint="eastAsia" w:ascii="华文楷体" w:hAnsi="华文楷体" w:eastAsia="华文楷体"/>
                <w:sz w:val="24"/>
                <w:lang w:val="en-US" w:eastAsia="zh-CN"/>
              </w:rPr>
            </w:pPr>
            <w:r>
              <w:rPr>
                <w:rFonts w:hint="eastAsia" w:ascii="华文楷体" w:hAnsi="华文楷体" w:eastAsia="华文楷体"/>
                <w:sz w:val="24"/>
                <w:lang w:val="en-US" w:eastAsia="zh-CN"/>
              </w:rPr>
              <w:t>428.22、</w:t>
            </w:r>
          </w:p>
          <w:p>
            <w:pPr>
              <w:spacing w:line="560" w:lineRule="exact"/>
              <w:ind w:firstLine="480" w:firstLineChars="200"/>
              <w:jc w:val="both"/>
              <w:rPr>
                <w:rFonts w:hint="default" w:ascii="华文楷体" w:hAnsi="华文楷体" w:eastAsia="华文楷体"/>
                <w:sz w:val="24"/>
                <w:lang w:val="en-US" w:eastAsia="zh-CN"/>
              </w:rPr>
            </w:pPr>
            <w:r>
              <w:rPr>
                <w:rFonts w:hint="eastAsia" w:ascii="华文楷体" w:hAnsi="华文楷体" w:eastAsia="华文楷体"/>
                <w:sz w:val="24"/>
                <w:lang w:val="en-US" w:eastAsia="zh-CN"/>
              </w:rPr>
              <w:t>393.72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89" w:type="dxa"/>
            <w:vAlign w:val="center"/>
          </w:tcPr>
          <w:p>
            <w:pPr>
              <w:spacing w:line="560" w:lineRule="exact"/>
              <w:jc w:val="center"/>
              <w:rPr>
                <w:rFonts w:ascii="华文楷体" w:hAnsi="华文楷体" w:eastAsia="华文楷体"/>
                <w:color w:val="000000"/>
                <w:szCs w:val="21"/>
              </w:rPr>
            </w:pPr>
            <w:r>
              <w:rPr>
                <w:rFonts w:hint="eastAsia" w:ascii="华文楷体" w:hAnsi="华文楷体" w:eastAsia="华文楷体"/>
                <w:color w:val="000000"/>
                <w:szCs w:val="21"/>
              </w:rPr>
              <w:t>漳州热带作物气象试验站</w:t>
            </w:r>
          </w:p>
        </w:tc>
        <w:tc>
          <w:tcPr>
            <w:tcW w:w="2016" w:type="dxa"/>
            <w:vAlign w:val="center"/>
          </w:tcPr>
          <w:p>
            <w:pPr>
              <w:spacing w:line="560" w:lineRule="exact"/>
              <w:jc w:val="center"/>
              <w:rPr>
                <w:rFonts w:ascii="仿宋_GB2312" w:eastAsia="仿宋_GB2312"/>
                <w:sz w:val="24"/>
              </w:rPr>
            </w:pPr>
            <w:r>
              <w:rPr>
                <w:rFonts w:hint="eastAsia" w:ascii="仿宋_GB2312" w:eastAsia="仿宋_GB2312"/>
                <w:sz w:val="24"/>
              </w:rPr>
              <w:t>2019.01～202</w:t>
            </w:r>
            <w:r>
              <w:rPr>
                <w:rFonts w:hint="eastAsia" w:ascii="仿宋_GB2312" w:eastAsia="仿宋_GB2312"/>
                <w:sz w:val="24"/>
                <w:lang w:val="en-US" w:eastAsia="zh-CN"/>
              </w:rPr>
              <w:t>1</w:t>
            </w:r>
            <w:r>
              <w:rPr>
                <w:rFonts w:hint="eastAsia" w:ascii="仿宋_GB2312" w:eastAsia="仿宋_GB2312"/>
                <w:sz w:val="24"/>
              </w:rPr>
              <w:t>.12</w:t>
            </w:r>
          </w:p>
        </w:tc>
        <w:tc>
          <w:tcPr>
            <w:tcW w:w="1451" w:type="dxa"/>
            <w:vAlign w:val="center"/>
          </w:tcPr>
          <w:p>
            <w:pPr>
              <w:spacing w:line="560" w:lineRule="exact"/>
              <w:jc w:val="center"/>
              <w:rPr>
                <w:rFonts w:hint="eastAsia" w:ascii="华文楷体" w:hAnsi="华文楷体" w:eastAsia="华文楷体"/>
                <w:color w:val="000000"/>
                <w:sz w:val="24"/>
                <w:lang w:val="en-US" w:eastAsia="zh-CN"/>
              </w:rPr>
            </w:pPr>
            <w:r>
              <w:rPr>
                <w:rFonts w:hint="eastAsia" w:ascii="华文楷体" w:hAnsi="华文楷体" w:eastAsia="华文楷体"/>
                <w:color w:val="000000"/>
                <w:sz w:val="24"/>
                <w:lang w:val="en-US" w:eastAsia="zh-CN"/>
              </w:rPr>
              <w:t>161.43、114.04、</w:t>
            </w:r>
          </w:p>
          <w:p>
            <w:pPr>
              <w:spacing w:line="560" w:lineRule="exact"/>
              <w:jc w:val="center"/>
              <w:rPr>
                <w:rFonts w:hint="default" w:ascii="华文楷体" w:hAnsi="华文楷体" w:eastAsia="华文楷体"/>
                <w:color w:val="000000"/>
                <w:sz w:val="24"/>
                <w:lang w:val="en-US" w:eastAsia="zh-CN"/>
              </w:rPr>
            </w:pPr>
            <w:r>
              <w:rPr>
                <w:rFonts w:hint="eastAsia" w:ascii="华文楷体" w:hAnsi="华文楷体" w:eastAsia="华文楷体"/>
                <w:color w:val="000000"/>
                <w:sz w:val="24"/>
                <w:lang w:val="en-US" w:eastAsia="zh-CN"/>
              </w:rPr>
              <w:t>244.18</w:t>
            </w:r>
          </w:p>
        </w:tc>
        <w:tc>
          <w:tcPr>
            <w:tcW w:w="1665" w:type="dxa"/>
            <w:vAlign w:val="center"/>
          </w:tcPr>
          <w:p>
            <w:pPr>
              <w:spacing w:line="560" w:lineRule="exact"/>
              <w:jc w:val="center"/>
              <w:rPr>
                <w:rFonts w:hint="eastAsia" w:ascii="华文楷体" w:hAnsi="华文楷体" w:eastAsia="华文楷体"/>
                <w:color w:val="000000"/>
                <w:sz w:val="24"/>
                <w:lang w:val="en-US" w:eastAsia="zh-CN"/>
              </w:rPr>
            </w:pPr>
            <w:r>
              <w:rPr>
                <w:rFonts w:hint="eastAsia" w:ascii="华文楷体" w:hAnsi="华文楷体" w:eastAsia="华文楷体"/>
                <w:color w:val="000000"/>
                <w:sz w:val="24"/>
                <w:lang w:val="en-US" w:eastAsia="zh-CN"/>
              </w:rPr>
              <w:t>717.49、686.42、</w:t>
            </w:r>
          </w:p>
          <w:p>
            <w:pPr>
              <w:spacing w:line="560" w:lineRule="exact"/>
              <w:jc w:val="center"/>
              <w:rPr>
                <w:rFonts w:hint="default" w:ascii="华文楷体" w:hAnsi="华文楷体" w:eastAsia="华文楷体"/>
                <w:color w:val="000000"/>
                <w:sz w:val="24"/>
                <w:lang w:val="en-US" w:eastAsia="zh-CN"/>
              </w:rPr>
            </w:pPr>
            <w:r>
              <w:rPr>
                <w:rFonts w:hint="eastAsia" w:ascii="华文楷体" w:hAnsi="华文楷体" w:eastAsia="华文楷体"/>
                <w:color w:val="000000"/>
                <w:sz w:val="24"/>
                <w:lang w:val="en-US" w:eastAsia="zh-CN"/>
              </w:rPr>
              <w:t>746.45</w:t>
            </w:r>
          </w:p>
        </w:tc>
        <w:tc>
          <w:tcPr>
            <w:tcW w:w="1910" w:type="dxa"/>
            <w:vAlign w:val="center"/>
          </w:tcPr>
          <w:p>
            <w:pPr>
              <w:spacing w:line="560" w:lineRule="exact"/>
              <w:jc w:val="center"/>
              <w:rPr>
                <w:rFonts w:hint="eastAsia" w:ascii="华文楷体" w:hAnsi="华文楷体" w:eastAsia="华文楷体"/>
                <w:color w:val="000000"/>
                <w:sz w:val="24"/>
                <w:lang w:val="en-US" w:eastAsia="zh-CN"/>
              </w:rPr>
            </w:pPr>
            <w:r>
              <w:rPr>
                <w:rFonts w:hint="eastAsia" w:ascii="华文楷体" w:hAnsi="华文楷体" w:eastAsia="华文楷体"/>
                <w:color w:val="000000"/>
                <w:sz w:val="24"/>
                <w:lang w:val="en-US" w:eastAsia="zh-CN"/>
              </w:rPr>
              <w:t>202.72、</w:t>
            </w:r>
          </w:p>
          <w:p>
            <w:pPr>
              <w:spacing w:line="560" w:lineRule="exact"/>
              <w:jc w:val="center"/>
              <w:rPr>
                <w:rFonts w:hint="eastAsia" w:ascii="华文楷体" w:hAnsi="华文楷体" w:eastAsia="华文楷体"/>
                <w:color w:val="000000"/>
                <w:sz w:val="24"/>
                <w:lang w:val="en-US" w:eastAsia="zh-CN"/>
              </w:rPr>
            </w:pPr>
            <w:r>
              <w:rPr>
                <w:rFonts w:hint="eastAsia" w:ascii="华文楷体" w:hAnsi="华文楷体" w:eastAsia="华文楷体"/>
                <w:color w:val="000000"/>
                <w:sz w:val="24"/>
                <w:lang w:val="en-US" w:eastAsia="zh-CN"/>
              </w:rPr>
              <w:t>550.18、</w:t>
            </w:r>
          </w:p>
          <w:p>
            <w:pPr>
              <w:spacing w:line="560" w:lineRule="exact"/>
              <w:jc w:val="center"/>
              <w:rPr>
                <w:rFonts w:hint="default" w:ascii="华文楷体" w:hAnsi="华文楷体" w:eastAsia="华文楷体"/>
                <w:color w:val="000000"/>
                <w:sz w:val="24"/>
                <w:lang w:val="en-US" w:eastAsia="zh-CN"/>
              </w:rPr>
            </w:pPr>
            <w:r>
              <w:rPr>
                <w:rFonts w:hint="eastAsia" w:ascii="华文楷体" w:hAnsi="华文楷体" w:eastAsia="华文楷体"/>
                <w:color w:val="000000"/>
                <w:sz w:val="24"/>
                <w:lang w:val="en-US" w:eastAsia="zh-CN"/>
              </w:rPr>
              <w:t>588.78</w:t>
            </w:r>
          </w:p>
        </w:tc>
      </w:tr>
    </w:tbl>
    <w:p>
      <w:pPr>
        <w:adjustRightInd w:val="0"/>
        <w:snapToGrid w:val="0"/>
        <w:spacing w:line="560" w:lineRule="exact"/>
        <w:jc w:val="left"/>
        <w:rPr>
          <w:rFonts w:ascii="黑体" w:hAnsi="黑体" w:eastAsia="黑体"/>
          <w:sz w:val="32"/>
          <w:szCs w:val="32"/>
        </w:rPr>
      </w:pPr>
      <w:r>
        <w:rPr>
          <w:rFonts w:hint="eastAsia" w:ascii="黑体" w:hAnsi="黑体" w:eastAsia="黑体"/>
          <w:sz w:val="32"/>
          <w:szCs w:val="32"/>
        </w:rPr>
        <w:t xml:space="preserve">三、报价要求： </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1.报价人应仔细阅读询价文件内容，并按询价要求提供报价，同时要保证所提供资料的真实性，若发现有虚假行为，将取消其询价资格。</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2.报价人必须按省物价局规定的收费标准和优惠比例进行综合报价。</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3.报价人不得相互串通报价，如发现有此行为的，将取消其报价或成交资格。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4.审计的时间要求：</w:t>
      </w:r>
      <w:r>
        <w:rPr>
          <w:rFonts w:hint="eastAsia" w:ascii="仿宋_GB2312" w:hAnsi="宋体" w:eastAsia="仿宋_GB2312"/>
          <w:sz w:val="32"/>
          <w:szCs w:val="32"/>
        </w:rPr>
        <w:t>所有单位的审计时间必须在10月30日前完成。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5.审计服务费的支付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项目完成后根据合同约定的付费方式和成交价格付费。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楷体_GB2312" w:eastAsia="楷体_GB2312"/>
          <w:sz w:val="32"/>
          <w:szCs w:val="32"/>
        </w:rPr>
      </w:pPr>
      <w:r>
        <w:rPr>
          <w:rFonts w:hint="eastAsia" w:ascii="楷体_GB2312" w:eastAsia="楷体_GB2312"/>
          <w:sz w:val="32"/>
          <w:szCs w:val="32"/>
        </w:rPr>
        <w:t>6.报价文件包括以下内容（</w:t>
      </w:r>
      <w:r>
        <w:rPr>
          <w:rFonts w:hint="eastAsia" w:ascii="楷体_GB2312" w:hAnsi="宋体" w:eastAsia="楷体_GB2312"/>
          <w:sz w:val="32"/>
          <w:szCs w:val="32"/>
        </w:rPr>
        <w:t>须加盖单位公章</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（1）单位证明文件：包括</w:t>
      </w:r>
      <w:r>
        <w:rPr>
          <w:rFonts w:hint="eastAsia" w:ascii="仿宋_GB2312" w:hAnsi="宋体" w:eastAsia="仿宋_GB2312"/>
          <w:sz w:val="32"/>
          <w:szCs w:val="32"/>
        </w:rPr>
        <w:t>营业执照复印件、</w:t>
      </w:r>
      <w:r>
        <w:rPr>
          <w:rFonts w:hint="eastAsia" w:ascii="仿宋_GB2312" w:eastAsia="仿宋_GB2312"/>
          <w:sz w:val="32"/>
          <w:szCs w:val="32"/>
        </w:rPr>
        <w:t>报价代表的法定授权书（法人代表除外）和个人身份</w:t>
      </w:r>
      <w:r>
        <w:rPr>
          <w:rFonts w:hint="eastAsia" w:ascii="仿宋_GB2312" w:hAnsi="宋体" w:eastAsia="仿宋_GB2312"/>
          <w:sz w:val="32"/>
          <w:szCs w:val="32"/>
        </w:rPr>
        <w:t>证明复印件。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（2）开展审计服务的人员配置：审计组长包括名单、职务、资格或职称以及联系电话；一般成员包括人员名单和资格或职称。审计组人员要保证相对稳定性，尤其审计组长要全程参与审计的实施过程。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（3）对开展审计服务人员配置的承诺。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（4）对审计质量、时间、保密措施的承诺。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（5）报价表（见附件）。</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黑体" w:eastAsia="黑体"/>
          <w:sz w:val="32"/>
          <w:szCs w:val="32"/>
        </w:rPr>
      </w:pPr>
      <w:r>
        <w:rPr>
          <w:rFonts w:hint="eastAsia" w:ascii="黑体" w:eastAsia="黑体"/>
          <w:sz w:val="32"/>
          <w:szCs w:val="32"/>
        </w:rPr>
        <w:t>四、递交报价文件截止时间</w:t>
      </w:r>
    </w:p>
    <w:p>
      <w:pPr>
        <w:pStyle w:val="7"/>
        <w:keepNext w:val="0"/>
        <w:keepLines w:val="0"/>
        <w:pageBreakBefore w:val="0"/>
        <w:widowControl w:val="0"/>
        <w:kinsoku/>
        <w:wordWrap/>
        <w:overflowPunct/>
        <w:topLinePunct w:val="0"/>
        <w:autoSpaceDE/>
        <w:autoSpaceDN/>
        <w:bidi w:val="0"/>
        <w:spacing w:line="560" w:lineRule="exact"/>
        <w:ind w:left="720" w:firstLine="0" w:firstLineChars="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日9:00</w:t>
      </w:r>
      <w:bookmarkStart w:id="0" w:name="_GoBack"/>
      <w:bookmarkEnd w:id="0"/>
      <w:r>
        <w:rPr>
          <w:rFonts w:hint="eastAsia" w:ascii="仿宋_GB2312" w:eastAsia="仿宋_GB2312"/>
          <w:sz w:val="32"/>
          <w:szCs w:val="32"/>
        </w:rPr>
        <w:t>（北京时间）</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黑体" w:eastAsia="黑体"/>
          <w:sz w:val="32"/>
          <w:szCs w:val="32"/>
        </w:rPr>
      </w:pPr>
      <w:r>
        <w:rPr>
          <w:rFonts w:hint="eastAsia" w:ascii="黑体" w:eastAsia="黑体"/>
          <w:sz w:val="32"/>
          <w:szCs w:val="32"/>
        </w:rPr>
        <w:t>五、询价及确定成交原则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从报价单位中根据证明文件、审计人员配置情况以及对开展审计服务人员配置的承诺和对审计质量、时间、保密措施的承诺判断是否满足要求。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对是否满足需求以综合评分法确定，总分超85分为满足要求。评分标准采用百分制，满分为100分，具体如下表。</w:t>
      </w:r>
    </w:p>
    <w:tbl>
      <w:tblPr>
        <w:tblStyle w:val="5"/>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415"/>
        <w:gridCol w:w="524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Align w:val="center"/>
          </w:tcPr>
          <w:p>
            <w:pPr>
              <w:spacing w:line="560" w:lineRule="exact"/>
              <w:jc w:val="center"/>
              <w:rPr>
                <w:rFonts w:ascii="华文楷体" w:hAnsi="华文楷体" w:eastAsia="华文楷体"/>
                <w:b/>
                <w:szCs w:val="21"/>
              </w:rPr>
            </w:pPr>
            <w:r>
              <w:rPr>
                <w:rFonts w:hint="eastAsia" w:ascii="华文楷体" w:hAnsi="华文楷体" w:eastAsia="华文楷体"/>
                <w:b/>
                <w:szCs w:val="21"/>
              </w:rPr>
              <w:t>序号</w:t>
            </w:r>
          </w:p>
        </w:tc>
        <w:tc>
          <w:tcPr>
            <w:tcW w:w="2415" w:type="dxa"/>
            <w:vAlign w:val="center"/>
          </w:tcPr>
          <w:p>
            <w:pPr>
              <w:spacing w:line="560" w:lineRule="exact"/>
              <w:jc w:val="center"/>
              <w:rPr>
                <w:rFonts w:ascii="华文楷体" w:hAnsi="华文楷体" w:eastAsia="华文楷体"/>
                <w:b/>
                <w:szCs w:val="21"/>
              </w:rPr>
            </w:pPr>
            <w:r>
              <w:rPr>
                <w:rFonts w:hint="eastAsia" w:ascii="华文楷体" w:hAnsi="华文楷体" w:eastAsia="华文楷体"/>
                <w:b/>
                <w:szCs w:val="21"/>
              </w:rPr>
              <w:t>评审项目</w:t>
            </w:r>
          </w:p>
        </w:tc>
        <w:tc>
          <w:tcPr>
            <w:tcW w:w="5245" w:type="dxa"/>
            <w:vAlign w:val="center"/>
          </w:tcPr>
          <w:p>
            <w:pPr>
              <w:spacing w:line="560" w:lineRule="exact"/>
              <w:jc w:val="center"/>
              <w:rPr>
                <w:rFonts w:ascii="华文楷体" w:hAnsi="华文楷体" w:eastAsia="华文楷体"/>
                <w:b/>
                <w:szCs w:val="21"/>
              </w:rPr>
            </w:pPr>
            <w:r>
              <w:rPr>
                <w:rFonts w:hint="eastAsia" w:ascii="华文楷体" w:hAnsi="华文楷体" w:eastAsia="华文楷体"/>
                <w:b/>
                <w:szCs w:val="21"/>
              </w:rPr>
              <w:t>评审内容及标准</w:t>
            </w:r>
          </w:p>
        </w:tc>
        <w:tc>
          <w:tcPr>
            <w:tcW w:w="875" w:type="dxa"/>
            <w:vAlign w:val="center"/>
          </w:tcPr>
          <w:p>
            <w:pPr>
              <w:spacing w:line="560" w:lineRule="exact"/>
              <w:jc w:val="center"/>
              <w:rPr>
                <w:rFonts w:ascii="华文楷体" w:hAnsi="华文楷体" w:eastAsia="华文楷体"/>
                <w:b/>
                <w:szCs w:val="21"/>
              </w:rPr>
            </w:pPr>
            <w:r>
              <w:rPr>
                <w:rFonts w:hint="eastAsia" w:ascii="华文楷体" w:hAnsi="华文楷体" w:eastAsia="华文楷体"/>
                <w:b/>
                <w:szCs w:val="21"/>
              </w:rPr>
              <w:t>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528"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1</w:t>
            </w:r>
          </w:p>
        </w:tc>
        <w:tc>
          <w:tcPr>
            <w:tcW w:w="2415"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证明文件（20分）</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提供营业执照复印件（10分）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提供报价代表的法定授权书（法人代表除外）和个人身份证明复印件（10分）</w:t>
            </w:r>
          </w:p>
        </w:tc>
        <w:tc>
          <w:tcPr>
            <w:tcW w:w="875" w:type="dxa"/>
            <w:vAlign w:val="center"/>
          </w:tcPr>
          <w:p>
            <w:pPr>
              <w:spacing w:line="560" w:lineRule="exact"/>
              <w:jc w:val="center"/>
              <w:rPr>
                <w:rFonts w:ascii="华文楷体" w:hAnsi="华文楷体" w:eastAsia="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528"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2</w:t>
            </w:r>
          </w:p>
        </w:tc>
        <w:tc>
          <w:tcPr>
            <w:tcW w:w="2415"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审计人员配置情况</w:t>
            </w:r>
          </w:p>
          <w:p>
            <w:pPr>
              <w:spacing w:line="560" w:lineRule="exact"/>
              <w:jc w:val="center"/>
              <w:rPr>
                <w:rFonts w:ascii="华文楷体" w:hAnsi="华文楷体" w:eastAsia="华文楷体"/>
                <w:szCs w:val="21"/>
              </w:rPr>
            </w:pPr>
            <w:r>
              <w:rPr>
                <w:rFonts w:hint="eastAsia" w:ascii="华文楷体" w:hAnsi="华文楷体" w:eastAsia="华文楷体"/>
                <w:szCs w:val="21"/>
              </w:rPr>
              <w:t>（30分）</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 w:val="19"/>
                <w:szCs w:val="19"/>
              </w:rPr>
            </w:pPr>
            <w:r>
              <w:rPr>
                <w:rFonts w:hint="eastAsia" w:ascii="华文楷体" w:hAnsi="华文楷体" w:eastAsia="华文楷体"/>
                <w:sz w:val="19"/>
                <w:szCs w:val="19"/>
              </w:rPr>
              <w:t>提供审计组长名单、职务、资格或职称及联系电话；（5分）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提供审计组成员的名单和资格或职称；（5分）</w:t>
            </w:r>
          </w:p>
          <w:p>
            <w:pPr>
              <w:keepNext w:val="0"/>
              <w:keepLines w:val="0"/>
              <w:pageBreakBefore w:val="0"/>
              <w:widowControl w:val="0"/>
              <w:kinsoku/>
              <w:wordWrap/>
              <w:overflowPunct/>
              <w:topLinePunct w:val="0"/>
              <w:autoSpaceDE/>
              <w:autoSpaceDN/>
              <w:bidi w:val="0"/>
              <w:adjustRightInd/>
              <w:snapToGrid/>
              <w:spacing w:line="480" w:lineRule="exact"/>
              <w:ind w:left="210" w:hanging="210" w:hangingChars="100"/>
              <w:textAlignment w:val="auto"/>
              <w:rPr>
                <w:rFonts w:ascii="华文楷体" w:hAnsi="华文楷体" w:eastAsia="华文楷体"/>
                <w:sz w:val="18"/>
                <w:szCs w:val="18"/>
              </w:rPr>
            </w:pPr>
            <w:r>
              <w:rPr>
                <w:rFonts w:hint="eastAsia" w:ascii="华文楷体" w:hAnsi="华文楷体" w:eastAsia="华文楷体"/>
                <w:szCs w:val="21"/>
              </w:rPr>
              <w:t xml:space="preserve">审计组长为注册会计师或高级会计（审计）师；（10分）  </w:t>
            </w:r>
            <w:r>
              <w:rPr>
                <w:rFonts w:hint="eastAsia" w:ascii="华文楷体" w:hAnsi="华文楷体" w:eastAsia="华文楷体"/>
                <w:sz w:val="18"/>
                <w:szCs w:val="18"/>
              </w:rPr>
              <w:t xml:space="preserve"> 根据网络查询结果，无法查询的请提供经盖章的证书复印件。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审计组成员有会计或审计中级职称人员（10分）；</w:t>
            </w:r>
          </w:p>
          <w:p>
            <w:pPr>
              <w:keepNext w:val="0"/>
              <w:keepLines w:val="0"/>
              <w:pageBreakBefore w:val="0"/>
              <w:widowControl w:val="0"/>
              <w:kinsoku/>
              <w:wordWrap/>
              <w:overflowPunct/>
              <w:topLinePunct w:val="0"/>
              <w:autoSpaceDE/>
              <w:autoSpaceDN/>
              <w:bidi w:val="0"/>
              <w:adjustRightInd/>
              <w:snapToGrid/>
              <w:spacing w:line="480" w:lineRule="exact"/>
              <w:ind w:firstLine="270" w:firstLineChars="150"/>
              <w:textAlignment w:val="auto"/>
              <w:rPr>
                <w:rFonts w:ascii="华文楷体" w:hAnsi="华文楷体" w:eastAsia="华文楷体"/>
                <w:sz w:val="18"/>
                <w:szCs w:val="18"/>
              </w:rPr>
            </w:pPr>
            <w:r>
              <w:rPr>
                <w:rFonts w:hint="eastAsia" w:ascii="华文楷体" w:hAnsi="华文楷体" w:eastAsia="华文楷体"/>
                <w:sz w:val="18"/>
                <w:szCs w:val="18"/>
              </w:rPr>
              <w:t>有2位以上得10分，有1位得5分，以经盖章的证书复印件为准。</w:t>
            </w:r>
          </w:p>
        </w:tc>
        <w:tc>
          <w:tcPr>
            <w:tcW w:w="875" w:type="dxa"/>
            <w:vAlign w:val="center"/>
          </w:tcPr>
          <w:p>
            <w:pPr>
              <w:spacing w:line="560" w:lineRule="exact"/>
              <w:jc w:val="center"/>
              <w:rPr>
                <w:rFonts w:ascii="华文楷体" w:hAnsi="华文楷体" w:eastAsia="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528"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3</w:t>
            </w:r>
          </w:p>
        </w:tc>
        <w:tc>
          <w:tcPr>
            <w:tcW w:w="2415"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对开展审计服务人员配置的承诺（20分）</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承诺保证审计组人员的相对稳定性（10分）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承诺审计组长全程参与审计的实施过程（10分）</w:t>
            </w:r>
          </w:p>
        </w:tc>
        <w:tc>
          <w:tcPr>
            <w:tcW w:w="875" w:type="dxa"/>
            <w:vAlign w:val="center"/>
          </w:tcPr>
          <w:p>
            <w:pPr>
              <w:spacing w:line="560" w:lineRule="exact"/>
              <w:jc w:val="center"/>
              <w:rPr>
                <w:rFonts w:ascii="华文楷体" w:hAnsi="华文楷体" w:eastAsia="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528"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4</w:t>
            </w:r>
          </w:p>
        </w:tc>
        <w:tc>
          <w:tcPr>
            <w:tcW w:w="2415"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对审计质量、完成时间、保密措施的承诺（30分）</w:t>
            </w:r>
          </w:p>
        </w:tc>
        <w:tc>
          <w:tcPr>
            <w:tcW w:w="5245" w:type="dxa"/>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对审计质量的作出承诺并符合要求（10分）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对审计完成时间作出承诺并符合要求（10分）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华文楷体" w:hAnsi="华文楷体" w:eastAsia="华文楷体"/>
                <w:szCs w:val="21"/>
              </w:rPr>
            </w:pPr>
            <w:r>
              <w:rPr>
                <w:rFonts w:hint="eastAsia" w:ascii="华文楷体" w:hAnsi="华文楷体" w:eastAsia="华文楷体"/>
                <w:szCs w:val="21"/>
              </w:rPr>
              <w:t>对审计保密措施作出承诺并符合要求（10分）</w:t>
            </w:r>
          </w:p>
        </w:tc>
        <w:tc>
          <w:tcPr>
            <w:tcW w:w="875" w:type="dxa"/>
            <w:vAlign w:val="center"/>
          </w:tcPr>
          <w:p>
            <w:pPr>
              <w:spacing w:line="560" w:lineRule="exact"/>
              <w:jc w:val="center"/>
              <w:rPr>
                <w:rFonts w:ascii="华文楷体" w:hAnsi="华文楷体" w:eastAsia="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2943" w:type="dxa"/>
            <w:gridSpan w:val="2"/>
            <w:vAlign w:val="center"/>
          </w:tcPr>
          <w:p>
            <w:pPr>
              <w:spacing w:line="560" w:lineRule="exact"/>
              <w:jc w:val="center"/>
              <w:rPr>
                <w:rFonts w:ascii="华文楷体" w:hAnsi="华文楷体" w:eastAsia="华文楷体"/>
                <w:b/>
                <w:szCs w:val="21"/>
              </w:rPr>
            </w:pPr>
            <w:r>
              <w:rPr>
                <w:rFonts w:hint="eastAsia" w:ascii="华文楷体" w:hAnsi="华文楷体" w:eastAsia="华文楷体"/>
                <w:b/>
                <w:szCs w:val="21"/>
              </w:rPr>
              <w:t>合        计</w:t>
            </w:r>
          </w:p>
        </w:tc>
        <w:tc>
          <w:tcPr>
            <w:tcW w:w="5245" w:type="dxa"/>
            <w:vAlign w:val="center"/>
          </w:tcPr>
          <w:p>
            <w:pPr>
              <w:spacing w:line="560" w:lineRule="exact"/>
              <w:jc w:val="center"/>
              <w:rPr>
                <w:rFonts w:ascii="华文楷体" w:hAnsi="华文楷体" w:eastAsia="华文楷体"/>
                <w:szCs w:val="21"/>
              </w:rPr>
            </w:pPr>
          </w:p>
        </w:tc>
        <w:tc>
          <w:tcPr>
            <w:tcW w:w="875" w:type="dxa"/>
            <w:vAlign w:val="center"/>
          </w:tcPr>
          <w:p>
            <w:pPr>
              <w:spacing w:line="560" w:lineRule="exact"/>
              <w:jc w:val="center"/>
              <w:rPr>
                <w:rFonts w:ascii="华文楷体" w:hAnsi="华文楷体" w:eastAsia="华文楷体"/>
                <w:szCs w:val="21"/>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采取报价孰低原则。在满足需求条件下、按报价孰低确定成交单位；同样低价按满足条件优越确定。</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ascii="黑体" w:eastAsia="黑体"/>
          <w:sz w:val="32"/>
          <w:szCs w:val="32"/>
        </w:rPr>
      </w:pPr>
      <w:r>
        <w:rPr>
          <w:rFonts w:hint="eastAsia" w:ascii="黑体" w:eastAsia="黑体"/>
          <w:sz w:val="32"/>
          <w:szCs w:val="32"/>
        </w:rPr>
        <w:t xml:space="preserve">八、联系方式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询价人：</w:t>
      </w:r>
      <w:r>
        <w:rPr>
          <w:rFonts w:hint="eastAsia" w:eastAsia="仿宋_GB2312"/>
          <w:sz w:val="32"/>
          <w:szCs w:val="32"/>
        </w:rPr>
        <w:t>福建省</w:t>
      </w:r>
      <w:r>
        <w:rPr>
          <w:rFonts w:hint="eastAsia" w:ascii="仿宋_GB2312" w:eastAsia="仿宋_GB2312"/>
          <w:sz w:val="32"/>
          <w:szCs w:val="32"/>
        </w:rPr>
        <w:t>漳州市气象局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通讯地址：漳州市芗城区大同新巷9号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联系人：肖卓君</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联系电话：0596-2030661</w:t>
      </w:r>
    </w:p>
    <w:p>
      <w:pPr>
        <w:keepNext w:val="0"/>
        <w:keepLines w:val="0"/>
        <w:pageBreakBefore w:val="0"/>
        <w:widowControl w:val="0"/>
        <w:kinsoku/>
        <w:wordWrap/>
        <w:overflowPunct/>
        <w:topLinePunct w:val="0"/>
        <w:autoSpaceDE/>
        <w:autoSpaceDN/>
        <w:bidi w:val="0"/>
        <w:spacing w:line="520" w:lineRule="exact"/>
        <w:textAlignment w:val="auto"/>
        <w:rPr>
          <w:rFonts w:ascii="仿宋_GB2312" w:eastAsia="仿宋_GB2312"/>
          <w:sz w:val="30"/>
          <w:szCs w:val="30"/>
        </w:rPr>
      </w:pPr>
    </w:p>
    <w:p>
      <w:pPr>
        <w:pStyle w:val="7"/>
        <w:spacing w:line="560" w:lineRule="exact"/>
        <w:ind w:left="1140" w:firstLine="0" w:firstLineChars="0"/>
        <w:rPr>
          <w:rFonts w:ascii="仿宋_GB2312" w:eastAsia="仿宋_GB2312"/>
          <w:sz w:val="30"/>
          <w:szCs w:val="30"/>
        </w:rPr>
      </w:pPr>
    </w:p>
    <w:p>
      <w:pPr>
        <w:adjustRightInd w:val="0"/>
        <w:snapToGrid w:val="0"/>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漳州市气象局</w:t>
      </w:r>
    </w:p>
    <w:p>
      <w:pPr>
        <w:adjustRightInd w:val="0"/>
        <w:snapToGrid w:val="0"/>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p/>
    <w:p/>
    <w:p>
      <w:pPr>
        <w:adjustRightInd w:val="0"/>
        <w:snapToGrid w:val="0"/>
        <w:spacing w:line="580" w:lineRule="exact"/>
        <w:rPr>
          <w:rFonts w:ascii="黑体" w:hAnsi="黑体" w:eastAsia="黑体"/>
          <w:sz w:val="32"/>
          <w:szCs w:val="32"/>
        </w:rPr>
      </w:pPr>
      <w:r>
        <w:rPr>
          <w:rFonts w:hint="eastAsia" w:ascii="黑体" w:hAnsi="黑体" w:eastAsia="黑体"/>
          <w:sz w:val="32"/>
          <w:szCs w:val="32"/>
        </w:rPr>
        <w:t>附件：</w:t>
      </w:r>
    </w:p>
    <w:p>
      <w:pPr>
        <w:adjustRightInd w:val="0"/>
        <w:snapToGrid w:val="0"/>
        <w:spacing w:line="580" w:lineRule="exact"/>
        <w:ind w:firstLine="3520" w:firstLineChars="800"/>
        <w:rPr>
          <w:rFonts w:ascii="方正小标宋简体" w:eastAsia="方正小标宋简体"/>
          <w:sz w:val="44"/>
          <w:szCs w:val="44"/>
        </w:rPr>
      </w:pPr>
      <w:r>
        <w:rPr>
          <w:rFonts w:hint="eastAsia" w:ascii="方正小标宋简体" w:eastAsia="方正小标宋简体"/>
          <w:sz w:val="44"/>
          <w:szCs w:val="44"/>
        </w:rPr>
        <w:t>报价表</w:t>
      </w:r>
    </w:p>
    <w:p>
      <w:pPr>
        <w:ind w:firstLine="6960" w:firstLineChars="2900"/>
        <w:rPr>
          <w:rFonts w:ascii="华文楷体" w:hAnsi="华文楷体" w:eastAsia="华文楷体"/>
          <w:sz w:val="24"/>
        </w:rPr>
      </w:pPr>
      <w:r>
        <w:rPr>
          <w:rFonts w:hint="eastAsia" w:ascii="华文楷体" w:hAnsi="华文楷体" w:eastAsia="华文楷体"/>
          <w:sz w:val="24"/>
        </w:rPr>
        <w:t>单位：元</w:t>
      </w:r>
    </w:p>
    <w:tbl>
      <w:tblPr>
        <w:tblStyle w:val="5"/>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1614"/>
        <w:gridCol w:w="1086"/>
        <w:gridCol w:w="1549"/>
        <w:gridCol w:w="1080"/>
        <w:gridCol w:w="90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331" w:type="dxa"/>
            <w:tcBorders>
              <w:tl2br w:val="single" w:color="auto" w:sz="4" w:space="0"/>
            </w:tcBorders>
            <w:shd w:val="clear" w:color="auto" w:fill="auto"/>
          </w:tcPr>
          <w:p>
            <w:pPr>
              <w:spacing w:line="300" w:lineRule="exact"/>
              <w:ind w:left="843" w:hanging="843" w:hangingChars="300"/>
              <w:rPr>
                <w:rFonts w:ascii="楷体" w:hAnsi="楷体" w:eastAsia="楷体"/>
                <w:b/>
                <w:sz w:val="28"/>
                <w:szCs w:val="28"/>
              </w:rPr>
            </w:pPr>
            <w:r>
              <w:rPr>
                <w:rFonts w:hint="eastAsia" w:ascii="楷体" w:hAnsi="楷体" w:eastAsia="楷体"/>
                <w:b/>
                <w:sz w:val="28"/>
                <w:szCs w:val="28"/>
              </w:rPr>
              <w:t xml:space="preserve">           计 费</w:t>
            </w:r>
          </w:p>
          <w:p>
            <w:pPr>
              <w:spacing w:line="300" w:lineRule="exact"/>
              <w:rPr>
                <w:rFonts w:ascii="楷体" w:hAnsi="楷体" w:eastAsia="楷体"/>
                <w:b/>
                <w:sz w:val="28"/>
                <w:szCs w:val="28"/>
              </w:rPr>
            </w:pPr>
            <w:r>
              <w:rPr>
                <w:rFonts w:hint="eastAsia" w:ascii="楷体" w:hAnsi="楷体" w:eastAsia="楷体"/>
                <w:b/>
                <w:sz w:val="28"/>
                <w:szCs w:val="28"/>
              </w:rPr>
              <w:t>项目</w:t>
            </w:r>
          </w:p>
          <w:p>
            <w:pPr>
              <w:spacing w:line="300" w:lineRule="exact"/>
              <w:rPr>
                <w:rFonts w:ascii="楷体" w:hAnsi="楷体" w:eastAsia="楷体"/>
                <w:b/>
                <w:sz w:val="28"/>
                <w:szCs w:val="28"/>
              </w:rPr>
            </w:pPr>
            <w:r>
              <w:rPr>
                <w:rFonts w:hint="eastAsia" w:ascii="楷体" w:hAnsi="楷体" w:eastAsia="楷体"/>
                <w:b/>
                <w:sz w:val="28"/>
                <w:szCs w:val="28"/>
              </w:rPr>
              <w:t>类型</w:t>
            </w:r>
          </w:p>
        </w:tc>
        <w:tc>
          <w:tcPr>
            <w:tcW w:w="1614"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审计年度</w:t>
            </w:r>
          </w:p>
        </w:tc>
        <w:tc>
          <w:tcPr>
            <w:tcW w:w="1086"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计费</w:t>
            </w:r>
          </w:p>
          <w:p>
            <w:pPr>
              <w:spacing w:line="300" w:lineRule="exact"/>
              <w:jc w:val="center"/>
              <w:rPr>
                <w:rFonts w:ascii="楷体" w:hAnsi="楷体" w:eastAsia="楷体"/>
                <w:b/>
                <w:sz w:val="28"/>
                <w:szCs w:val="28"/>
              </w:rPr>
            </w:pPr>
            <w:r>
              <w:rPr>
                <w:rFonts w:hint="eastAsia" w:ascii="楷体" w:hAnsi="楷体" w:eastAsia="楷体"/>
                <w:b/>
                <w:sz w:val="28"/>
                <w:szCs w:val="28"/>
              </w:rPr>
              <w:t>方式</w:t>
            </w:r>
          </w:p>
        </w:tc>
        <w:tc>
          <w:tcPr>
            <w:tcW w:w="1549"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计费</w:t>
            </w:r>
          </w:p>
          <w:p>
            <w:pPr>
              <w:spacing w:line="300" w:lineRule="exact"/>
              <w:jc w:val="center"/>
              <w:rPr>
                <w:rFonts w:ascii="楷体" w:hAnsi="楷体" w:eastAsia="楷体"/>
                <w:b/>
                <w:sz w:val="28"/>
                <w:szCs w:val="28"/>
              </w:rPr>
            </w:pPr>
            <w:r>
              <w:rPr>
                <w:rFonts w:hint="eastAsia" w:ascii="楷体" w:hAnsi="楷体" w:eastAsia="楷体"/>
                <w:b/>
                <w:sz w:val="28"/>
                <w:szCs w:val="28"/>
              </w:rPr>
              <w:t>单位</w:t>
            </w:r>
          </w:p>
        </w:tc>
        <w:tc>
          <w:tcPr>
            <w:tcW w:w="1080"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标准取费费率</w:t>
            </w:r>
          </w:p>
        </w:tc>
        <w:tc>
          <w:tcPr>
            <w:tcW w:w="900"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优惠费率</w:t>
            </w:r>
          </w:p>
        </w:tc>
        <w:tc>
          <w:tcPr>
            <w:tcW w:w="1247"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报价</w:t>
            </w:r>
          </w:p>
          <w:p>
            <w:pPr>
              <w:spacing w:line="300" w:lineRule="exact"/>
              <w:jc w:val="center"/>
              <w:rPr>
                <w:rFonts w:ascii="楷体" w:hAnsi="楷体" w:eastAsia="楷体"/>
                <w:b/>
                <w:sz w:val="28"/>
                <w:szCs w:val="28"/>
              </w:rPr>
            </w:pPr>
            <w:r>
              <w:rPr>
                <w:rFonts w:hint="eastAsia" w:ascii="楷体" w:hAnsi="楷体" w:eastAsia="楷体"/>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331" w:type="dxa"/>
            <w:shd w:val="clear" w:color="auto" w:fill="auto"/>
            <w:vAlign w:val="center"/>
          </w:tcPr>
          <w:p>
            <w:pPr>
              <w:jc w:val="center"/>
              <w:rPr>
                <w:rFonts w:ascii="华文楷体" w:hAnsi="华文楷体" w:eastAsia="华文楷体"/>
                <w:sz w:val="24"/>
              </w:rPr>
            </w:pPr>
            <w:r>
              <w:rPr>
                <w:rFonts w:hint="eastAsia" w:ascii="华文楷体" w:hAnsi="华文楷体" w:eastAsia="华文楷体"/>
                <w:sz w:val="24"/>
              </w:rPr>
              <w:t>经济责任</w:t>
            </w:r>
          </w:p>
          <w:p>
            <w:pPr>
              <w:jc w:val="center"/>
              <w:rPr>
                <w:rFonts w:ascii="华文楷体" w:hAnsi="华文楷体" w:eastAsia="华文楷体"/>
                <w:sz w:val="24"/>
              </w:rPr>
            </w:pPr>
            <w:r>
              <w:rPr>
                <w:rFonts w:hint="eastAsia" w:ascii="华文楷体" w:hAnsi="华文楷体" w:eastAsia="华文楷体"/>
                <w:sz w:val="24"/>
              </w:rPr>
              <w:t>审   计</w:t>
            </w:r>
          </w:p>
        </w:tc>
        <w:tc>
          <w:tcPr>
            <w:tcW w:w="1614" w:type="dxa"/>
            <w:shd w:val="clear" w:color="auto" w:fill="auto"/>
            <w:vAlign w:val="center"/>
          </w:tcPr>
          <w:p>
            <w:pPr>
              <w:rPr>
                <w:rFonts w:ascii="华文楷体" w:hAnsi="华文楷体" w:eastAsia="华文楷体"/>
              </w:rPr>
            </w:pPr>
          </w:p>
        </w:tc>
        <w:tc>
          <w:tcPr>
            <w:tcW w:w="1086" w:type="dxa"/>
            <w:shd w:val="clear" w:color="auto" w:fill="auto"/>
            <w:vAlign w:val="center"/>
          </w:tcPr>
          <w:p>
            <w:pPr>
              <w:jc w:val="center"/>
              <w:rPr>
                <w:rFonts w:ascii="华文楷体" w:hAnsi="华文楷体" w:eastAsia="华文楷体"/>
              </w:rPr>
            </w:pPr>
          </w:p>
        </w:tc>
        <w:tc>
          <w:tcPr>
            <w:tcW w:w="1549" w:type="dxa"/>
            <w:shd w:val="clear" w:color="auto" w:fill="auto"/>
            <w:vAlign w:val="center"/>
          </w:tcPr>
          <w:p>
            <w:pPr>
              <w:jc w:val="center"/>
              <w:rPr>
                <w:rFonts w:ascii="华文楷体" w:hAnsi="华文楷体" w:eastAsia="华文楷体"/>
              </w:rPr>
            </w:pPr>
          </w:p>
        </w:tc>
        <w:tc>
          <w:tcPr>
            <w:tcW w:w="1080" w:type="dxa"/>
            <w:shd w:val="clear" w:color="auto" w:fill="auto"/>
            <w:vAlign w:val="center"/>
          </w:tcPr>
          <w:p>
            <w:pPr>
              <w:jc w:val="center"/>
              <w:rPr>
                <w:rFonts w:ascii="华文楷体" w:hAnsi="华文楷体" w:eastAsia="华文楷体"/>
              </w:rPr>
            </w:pPr>
          </w:p>
        </w:tc>
        <w:tc>
          <w:tcPr>
            <w:tcW w:w="900" w:type="dxa"/>
            <w:shd w:val="clear" w:color="auto" w:fill="auto"/>
            <w:vAlign w:val="center"/>
          </w:tcPr>
          <w:p>
            <w:pPr>
              <w:jc w:val="center"/>
              <w:rPr>
                <w:rFonts w:ascii="华文楷体" w:hAnsi="华文楷体" w:eastAsia="华文楷体"/>
              </w:rPr>
            </w:pPr>
          </w:p>
        </w:tc>
        <w:tc>
          <w:tcPr>
            <w:tcW w:w="1247" w:type="dxa"/>
            <w:shd w:val="clear" w:color="auto" w:fill="auto"/>
            <w:vAlign w:val="center"/>
          </w:tcPr>
          <w:p>
            <w:pPr>
              <w:jc w:val="center"/>
              <w:rPr>
                <w:rFonts w:ascii="华文楷体" w:hAnsi="华文楷体" w:eastAsia="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331" w:type="dxa"/>
            <w:shd w:val="clear" w:color="auto" w:fill="auto"/>
            <w:vAlign w:val="center"/>
          </w:tcPr>
          <w:p>
            <w:pPr>
              <w:jc w:val="center"/>
              <w:rPr>
                <w:rFonts w:ascii="华文楷体" w:hAnsi="华文楷体" w:eastAsia="华文楷体"/>
                <w:sz w:val="24"/>
              </w:rPr>
            </w:pPr>
            <w:r>
              <w:rPr>
                <w:rFonts w:hint="eastAsia" w:ascii="华文楷体" w:hAnsi="华文楷体" w:eastAsia="华文楷体"/>
                <w:sz w:val="24"/>
              </w:rPr>
              <w:t>异地</w:t>
            </w:r>
          </w:p>
          <w:p>
            <w:pPr>
              <w:jc w:val="center"/>
              <w:rPr>
                <w:rFonts w:ascii="华文楷体" w:hAnsi="华文楷体" w:eastAsia="华文楷体"/>
                <w:sz w:val="24"/>
              </w:rPr>
            </w:pPr>
            <w:r>
              <w:rPr>
                <w:rFonts w:hint="eastAsia" w:ascii="华文楷体" w:hAnsi="华文楷体" w:eastAsia="华文楷体"/>
                <w:sz w:val="24"/>
              </w:rPr>
              <w:t>差旅费</w:t>
            </w:r>
          </w:p>
        </w:tc>
        <w:tc>
          <w:tcPr>
            <w:tcW w:w="1614" w:type="dxa"/>
            <w:shd w:val="clear" w:color="auto" w:fill="auto"/>
            <w:vAlign w:val="center"/>
          </w:tcPr>
          <w:p>
            <w:pPr>
              <w:jc w:val="center"/>
              <w:rPr>
                <w:rFonts w:hint="eastAsia" w:ascii="华文楷体" w:hAnsi="华文楷体" w:eastAsia="华文楷体"/>
                <w:lang w:eastAsia="zh-CN"/>
              </w:rPr>
            </w:pPr>
            <w:r>
              <w:rPr>
                <w:rFonts w:hint="eastAsia" w:ascii="华文楷体" w:hAnsi="华文楷体" w:eastAsia="华文楷体"/>
                <w:lang w:val="en-US" w:eastAsia="zh-CN"/>
              </w:rPr>
              <w:t xml:space="preserve"> </w:t>
            </w:r>
          </w:p>
        </w:tc>
        <w:tc>
          <w:tcPr>
            <w:tcW w:w="1086" w:type="dxa"/>
            <w:shd w:val="clear" w:color="auto" w:fill="auto"/>
            <w:vAlign w:val="center"/>
          </w:tcPr>
          <w:p>
            <w:pPr>
              <w:ind w:firstLine="105" w:firstLineChars="50"/>
              <w:jc w:val="center"/>
              <w:rPr>
                <w:rFonts w:hint="eastAsia" w:ascii="华文楷体" w:hAnsi="华文楷体" w:eastAsia="华文楷体"/>
                <w:lang w:eastAsia="zh-CN"/>
              </w:rPr>
            </w:pPr>
            <w:r>
              <w:rPr>
                <w:rFonts w:hint="eastAsia" w:ascii="华文楷体" w:hAnsi="华文楷体" w:eastAsia="华文楷体"/>
                <w:lang w:val="en-US" w:eastAsia="zh-CN"/>
              </w:rPr>
              <w:t xml:space="preserve"> </w:t>
            </w:r>
          </w:p>
        </w:tc>
        <w:tc>
          <w:tcPr>
            <w:tcW w:w="1549" w:type="dxa"/>
            <w:shd w:val="clear" w:color="auto" w:fill="auto"/>
            <w:vAlign w:val="center"/>
          </w:tcPr>
          <w:p>
            <w:pPr>
              <w:jc w:val="center"/>
              <w:rPr>
                <w:rFonts w:hint="eastAsia" w:ascii="华文楷体" w:hAnsi="华文楷体" w:eastAsia="华文楷体"/>
                <w:lang w:eastAsia="zh-CN"/>
              </w:rPr>
            </w:pPr>
            <w:r>
              <w:rPr>
                <w:rFonts w:hint="eastAsia" w:ascii="华文楷体" w:hAnsi="华文楷体" w:eastAsia="华文楷体"/>
                <w:lang w:val="en-US" w:eastAsia="zh-CN"/>
              </w:rPr>
              <w:t xml:space="preserve"> </w:t>
            </w:r>
          </w:p>
        </w:tc>
        <w:tc>
          <w:tcPr>
            <w:tcW w:w="1080" w:type="dxa"/>
            <w:shd w:val="clear" w:color="auto" w:fill="auto"/>
            <w:vAlign w:val="center"/>
          </w:tcPr>
          <w:p>
            <w:pPr>
              <w:jc w:val="center"/>
              <w:rPr>
                <w:rFonts w:hint="eastAsia" w:ascii="华文楷体" w:hAnsi="华文楷体" w:eastAsia="华文楷体"/>
                <w:lang w:eastAsia="zh-CN"/>
              </w:rPr>
            </w:pPr>
            <w:r>
              <w:rPr>
                <w:rFonts w:hint="eastAsia" w:ascii="华文楷体" w:hAnsi="华文楷体" w:eastAsia="华文楷体"/>
                <w:lang w:val="en-US" w:eastAsia="zh-CN"/>
              </w:rPr>
              <w:t xml:space="preserve"> </w:t>
            </w:r>
          </w:p>
        </w:tc>
        <w:tc>
          <w:tcPr>
            <w:tcW w:w="900" w:type="dxa"/>
            <w:shd w:val="clear" w:color="auto" w:fill="auto"/>
            <w:vAlign w:val="center"/>
          </w:tcPr>
          <w:p>
            <w:pPr>
              <w:jc w:val="center"/>
              <w:rPr>
                <w:rFonts w:hint="eastAsia" w:ascii="华文楷体" w:hAnsi="华文楷体" w:eastAsia="华文楷体"/>
                <w:lang w:eastAsia="zh-CN"/>
              </w:rPr>
            </w:pPr>
            <w:r>
              <w:rPr>
                <w:rFonts w:hint="eastAsia" w:ascii="华文楷体" w:hAnsi="华文楷体" w:eastAsia="华文楷体"/>
                <w:lang w:val="en-US" w:eastAsia="zh-CN"/>
              </w:rPr>
              <w:t xml:space="preserve"> </w:t>
            </w:r>
          </w:p>
        </w:tc>
        <w:tc>
          <w:tcPr>
            <w:tcW w:w="1247" w:type="dxa"/>
            <w:shd w:val="clear" w:color="auto" w:fill="auto"/>
            <w:vAlign w:val="center"/>
          </w:tcPr>
          <w:p>
            <w:pPr>
              <w:jc w:val="center"/>
              <w:rPr>
                <w:rFonts w:ascii="华文楷体" w:hAnsi="华文楷体" w:eastAsia="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560" w:type="dxa"/>
            <w:gridSpan w:val="6"/>
            <w:shd w:val="clear" w:color="auto" w:fill="auto"/>
            <w:vAlign w:val="center"/>
          </w:tcPr>
          <w:p>
            <w:pPr>
              <w:jc w:val="center"/>
              <w:rPr>
                <w:rFonts w:ascii="华文楷体" w:hAnsi="华文楷体" w:eastAsia="华文楷体"/>
                <w:sz w:val="28"/>
                <w:szCs w:val="28"/>
              </w:rPr>
            </w:pPr>
            <w:r>
              <w:rPr>
                <w:rFonts w:hint="eastAsia" w:ascii="华文楷体" w:hAnsi="华文楷体" w:eastAsia="华文楷体"/>
                <w:sz w:val="28"/>
                <w:szCs w:val="28"/>
              </w:rPr>
              <w:t>合 计 金 额</w:t>
            </w:r>
          </w:p>
        </w:tc>
        <w:tc>
          <w:tcPr>
            <w:tcW w:w="1247" w:type="dxa"/>
            <w:shd w:val="clear" w:color="auto" w:fill="auto"/>
            <w:vAlign w:val="center"/>
          </w:tcPr>
          <w:p>
            <w:pPr>
              <w:rPr>
                <w:rFonts w:ascii="华文楷体" w:hAnsi="华文楷体" w:eastAsia="华文楷体"/>
              </w:rPr>
            </w:pPr>
          </w:p>
        </w:tc>
      </w:tr>
    </w:tbl>
    <w:p>
      <w:pPr>
        <w:rPr>
          <w:rFonts w:ascii="华文楷体" w:hAnsi="华文楷体" w:eastAsia="华文楷体"/>
        </w:rPr>
      </w:pPr>
      <w:r>
        <w:rPr>
          <w:rFonts w:hint="eastAsia" w:ascii="华文楷体" w:hAnsi="华文楷体" w:eastAsia="华文楷体"/>
        </w:rPr>
        <w:t>注：出差地</w:t>
      </w:r>
      <w:r>
        <w:rPr>
          <w:rFonts w:hint="eastAsia" w:ascii="华文楷体" w:hAnsi="华文楷体" w:eastAsia="华文楷体"/>
          <w:lang w:eastAsia="zh-CN"/>
        </w:rPr>
        <w:t>华安、天宝</w:t>
      </w:r>
      <w:r>
        <w:rPr>
          <w:rFonts w:hint="eastAsia" w:ascii="华文楷体" w:hAnsi="华文楷体" w:eastAsia="华文楷体"/>
        </w:rPr>
        <w:t>，如受疫情影响无法实施现场实地审计，需双方协商变更审计方式，减免异地差旅费用。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微软雅黑"/>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A2"/>
    <w:rsid w:val="000E5264"/>
    <w:rsid w:val="00173BE8"/>
    <w:rsid w:val="001C1077"/>
    <w:rsid w:val="001D30AC"/>
    <w:rsid w:val="002D1658"/>
    <w:rsid w:val="002E1594"/>
    <w:rsid w:val="002E6373"/>
    <w:rsid w:val="00354871"/>
    <w:rsid w:val="004A4DDF"/>
    <w:rsid w:val="00593006"/>
    <w:rsid w:val="00633F34"/>
    <w:rsid w:val="006947A4"/>
    <w:rsid w:val="006C336A"/>
    <w:rsid w:val="006F10BA"/>
    <w:rsid w:val="0070658E"/>
    <w:rsid w:val="007425EF"/>
    <w:rsid w:val="00823CF2"/>
    <w:rsid w:val="008D1FDE"/>
    <w:rsid w:val="009026E5"/>
    <w:rsid w:val="0093478F"/>
    <w:rsid w:val="00A505F8"/>
    <w:rsid w:val="00AB2187"/>
    <w:rsid w:val="00AF6BC8"/>
    <w:rsid w:val="00B02CA8"/>
    <w:rsid w:val="00B323BB"/>
    <w:rsid w:val="00C623B3"/>
    <w:rsid w:val="00C67184"/>
    <w:rsid w:val="00CE6945"/>
    <w:rsid w:val="00DF612D"/>
    <w:rsid w:val="00E405EC"/>
    <w:rsid w:val="00E92540"/>
    <w:rsid w:val="00EB28C9"/>
    <w:rsid w:val="00F964A2"/>
    <w:rsid w:val="00FE1B7A"/>
    <w:rsid w:val="3BBF73FA"/>
    <w:rsid w:val="3FFFF145"/>
    <w:rsid w:val="78AFDB5A"/>
    <w:rsid w:val="83FF5CD0"/>
    <w:rsid w:val="B9FF34CB"/>
    <w:rsid w:val="BF7E87F5"/>
    <w:rsid w:val="F9250619"/>
    <w:rsid w:val="FFFF9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341</Words>
  <Characters>1950</Characters>
  <Lines>16</Lines>
  <Paragraphs>4</Paragraphs>
  <TotalTime>12</TotalTime>
  <ScaleCrop>false</ScaleCrop>
  <LinksUpToDate>false</LinksUpToDate>
  <CharactersWithSpaces>2287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2021-10-08T23:00:00Z</dcterms:created>
  <dc:creator>漳州市局文秘</dc:creator>
  <cp:lastModifiedBy>qixiangju</cp:lastModifiedBy>
  <cp:lastPrinted>2018-06-19T23:05:00Z</cp:lastPrinted>
  <dcterms:modified xsi:type="dcterms:W3CDTF">2022-10-09T11:44:41Z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