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C4" w:rsidRDefault="000C0DC4">
      <w:pPr>
        <w:widowControl/>
        <w:jc w:val="center"/>
        <w:rPr>
          <w:rFonts w:ascii="黑体" w:eastAsia="黑体" w:hAnsi="黑体"/>
          <w:sz w:val="52"/>
          <w:szCs w:val="52"/>
        </w:rPr>
      </w:pPr>
    </w:p>
    <w:p w:rsidR="000C0DC4" w:rsidRDefault="000C0DC4">
      <w:pPr>
        <w:widowControl/>
        <w:jc w:val="center"/>
        <w:rPr>
          <w:rFonts w:ascii="黑体" w:eastAsia="黑体" w:hAnsi="黑体"/>
          <w:sz w:val="52"/>
          <w:szCs w:val="52"/>
        </w:rPr>
      </w:pPr>
    </w:p>
    <w:p w:rsidR="000C0DC4" w:rsidRDefault="000C0DC4">
      <w:pPr>
        <w:widowControl/>
        <w:jc w:val="center"/>
        <w:rPr>
          <w:rFonts w:ascii="黑体" w:eastAsia="黑体" w:hAnsi="黑体"/>
          <w:sz w:val="52"/>
          <w:szCs w:val="52"/>
        </w:rPr>
      </w:pPr>
    </w:p>
    <w:p w:rsidR="000C0DC4" w:rsidRDefault="000C0DC4">
      <w:pPr>
        <w:widowControl/>
        <w:rPr>
          <w:rFonts w:ascii="黑体" w:eastAsia="黑体" w:hAnsi="黑体"/>
          <w:sz w:val="52"/>
          <w:szCs w:val="52"/>
        </w:rPr>
      </w:pPr>
    </w:p>
    <w:p w:rsidR="000C0DC4" w:rsidRDefault="00A116D6">
      <w:pPr>
        <w:widowControl/>
        <w:jc w:val="center"/>
        <w:rPr>
          <w:rFonts w:ascii="黑体" w:eastAsia="黑体" w:hAnsi="黑体"/>
          <w:sz w:val="52"/>
          <w:szCs w:val="52"/>
        </w:rPr>
      </w:pPr>
      <w:r>
        <w:rPr>
          <w:rFonts w:ascii="黑体" w:eastAsia="黑体" w:hAnsi="黑体" w:hint="eastAsia"/>
          <w:sz w:val="52"/>
          <w:szCs w:val="52"/>
        </w:rPr>
        <w:t>福建省气象局20</w:t>
      </w:r>
      <w:r>
        <w:rPr>
          <w:rFonts w:ascii="黑体" w:eastAsia="黑体" w:hAnsi="黑体"/>
          <w:sz w:val="52"/>
          <w:szCs w:val="52"/>
        </w:rPr>
        <w:t>21</w:t>
      </w:r>
      <w:r>
        <w:rPr>
          <w:rFonts w:ascii="黑体" w:eastAsia="黑体" w:hAnsi="黑体" w:hint="eastAsia"/>
          <w:sz w:val="52"/>
          <w:szCs w:val="52"/>
        </w:rPr>
        <w:t>年部门预算</w:t>
      </w:r>
    </w:p>
    <w:p w:rsidR="000C0DC4" w:rsidRDefault="000C0DC4">
      <w:pPr>
        <w:widowControl/>
        <w:jc w:val="center"/>
        <w:rPr>
          <w:rFonts w:ascii="黑体" w:eastAsia="黑体" w:hAnsi="黑体"/>
          <w:sz w:val="52"/>
          <w:szCs w:val="52"/>
        </w:rPr>
      </w:pPr>
    </w:p>
    <w:p w:rsidR="000C0DC4" w:rsidRDefault="000C0DC4">
      <w:pPr>
        <w:widowControl/>
        <w:jc w:val="center"/>
        <w:rPr>
          <w:rFonts w:ascii="黑体" w:eastAsia="黑体" w:hAnsi="黑体"/>
          <w:sz w:val="52"/>
          <w:szCs w:val="52"/>
        </w:rPr>
      </w:pPr>
    </w:p>
    <w:p w:rsidR="000C0DC4" w:rsidRDefault="000C0DC4">
      <w:pPr>
        <w:widowControl/>
        <w:jc w:val="center"/>
        <w:rPr>
          <w:rFonts w:ascii="黑体" w:eastAsia="黑体" w:hAnsi="黑体"/>
          <w:sz w:val="52"/>
          <w:szCs w:val="52"/>
        </w:rPr>
      </w:pPr>
    </w:p>
    <w:p w:rsidR="000C0DC4" w:rsidRDefault="000C0DC4">
      <w:pPr>
        <w:widowControl/>
        <w:jc w:val="center"/>
        <w:rPr>
          <w:rFonts w:ascii="黑体" w:eastAsia="黑体" w:hAnsi="黑体"/>
          <w:sz w:val="52"/>
          <w:szCs w:val="52"/>
        </w:rPr>
      </w:pPr>
    </w:p>
    <w:p w:rsidR="000C0DC4" w:rsidRDefault="000C0DC4">
      <w:pPr>
        <w:widowControl/>
        <w:jc w:val="center"/>
        <w:rPr>
          <w:rFonts w:ascii="黑体" w:eastAsia="黑体" w:hAnsi="黑体"/>
          <w:sz w:val="52"/>
          <w:szCs w:val="52"/>
        </w:rPr>
      </w:pPr>
    </w:p>
    <w:p w:rsidR="000C0DC4" w:rsidRDefault="000C0DC4">
      <w:pPr>
        <w:widowControl/>
        <w:rPr>
          <w:rFonts w:ascii="黑体" w:eastAsia="黑体" w:hAnsi="黑体"/>
          <w:sz w:val="52"/>
          <w:szCs w:val="52"/>
        </w:rPr>
      </w:pPr>
    </w:p>
    <w:p w:rsidR="000C0DC4" w:rsidRDefault="000C0DC4">
      <w:pPr>
        <w:widowControl/>
        <w:rPr>
          <w:rFonts w:ascii="黑体" w:eastAsia="黑体" w:hAnsi="黑体"/>
          <w:sz w:val="52"/>
          <w:szCs w:val="52"/>
        </w:rPr>
      </w:pPr>
    </w:p>
    <w:p w:rsidR="000C0DC4" w:rsidRDefault="00A116D6">
      <w:pPr>
        <w:jc w:val="center"/>
        <w:rPr>
          <w:rFonts w:eastAsia="黑体"/>
          <w:sz w:val="32"/>
          <w:szCs w:val="32"/>
        </w:rPr>
      </w:pPr>
      <w:r>
        <w:rPr>
          <w:rFonts w:eastAsia="黑体"/>
          <w:sz w:val="44"/>
          <w:szCs w:val="44"/>
        </w:rPr>
        <w:t>二〇</w:t>
      </w:r>
      <w:r>
        <w:rPr>
          <w:rFonts w:eastAsia="黑体" w:hint="eastAsia"/>
          <w:sz w:val="44"/>
          <w:szCs w:val="44"/>
        </w:rPr>
        <w:t>二</w:t>
      </w:r>
      <w:r>
        <w:rPr>
          <w:rFonts w:eastAsia="黑体"/>
          <w:sz w:val="44"/>
          <w:szCs w:val="44"/>
        </w:rPr>
        <w:t>一年</w:t>
      </w:r>
      <w:r>
        <w:rPr>
          <w:rFonts w:eastAsia="黑体" w:hint="eastAsia"/>
          <w:sz w:val="44"/>
          <w:szCs w:val="44"/>
        </w:rPr>
        <w:t>四</w:t>
      </w:r>
      <w:r>
        <w:rPr>
          <w:rFonts w:eastAsia="黑体"/>
          <w:sz w:val="44"/>
          <w:szCs w:val="44"/>
        </w:rPr>
        <w:t>月</w:t>
      </w:r>
    </w:p>
    <w:p w:rsidR="000C0DC4" w:rsidRDefault="000C0DC4">
      <w:pPr>
        <w:widowControl/>
        <w:jc w:val="left"/>
        <w:rPr>
          <w:rFonts w:ascii="仿宋_GB2312" w:eastAsia="仿宋_GB2312"/>
          <w:sz w:val="32"/>
          <w:szCs w:val="32"/>
        </w:rPr>
      </w:pPr>
    </w:p>
    <w:p w:rsidR="000C0DC4" w:rsidRDefault="000C0DC4">
      <w:pPr>
        <w:spacing w:line="800" w:lineRule="exact"/>
        <w:jc w:val="center"/>
        <w:rPr>
          <w:rFonts w:ascii="仿宋_GB2312" w:eastAsia="仿宋_GB2312"/>
          <w:sz w:val="32"/>
          <w:szCs w:val="32"/>
        </w:rPr>
      </w:pPr>
    </w:p>
    <w:p w:rsidR="000C0DC4" w:rsidRDefault="00A116D6">
      <w:pPr>
        <w:spacing w:line="800" w:lineRule="exact"/>
        <w:jc w:val="center"/>
        <w:rPr>
          <w:rFonts w:ascii="黑体" w:eastAsia="黑体" w:hAnsi="黑体"/>
          <w:sz w:val="52"/>
          <w:szCs w:val="52"/>
        </w:rPr>
      </w:pPr>
      <w:r>
        <w:rPr>
          <w:rFonts w:ascii="黑体" w:eastAsia="黑体" w:hAnsi="黑体" w:hint="eastAsia"/>
          <w:sz w:val="52"/>
          <w:szCs w:val="52"/>
        </w:rPr>
        <w:lastRenderedPageBreak/>
        <w:t>福建省气象局20</w:t>
      </w:r>
      <w:r>
        <w:rPr>
          <w:rFonts w:ascii="黑体" w:eastAsia="黑体" w:hAnsi="黑体"/>
          <w:sz w:val="52"/>
          <w:szCs w:val="52"/>
        </w:rPr>
        <w:t>21</w:t>
      </w:r>
      <w:r>
        <w:rPr>
          <w:rFonts w:ascii="黑体" w:eastAsia="黑体" w:hAnsi="黑体" w:hint="eastAsia"/>
          <w:sz w:val="52"/>
          <w:szCs w:val="52"/>
        </w:rPr>
        <w:t>年部门预算</w:t>
      </w:r>
    </w:p>
    <w:p w:rsidR="000C0DC4" w:rsidRDefault="000C0DC4">
      <w:pPr>
        <w:jc w:val="center"/>
        <w:rPr>
          <w:rFonts w:ascii="黑体" w:eastAsia="黑体" w:hAnsi="黑体"/>
          <w:sz w:val="44"/>
          <w:szCs w:val="44"/>
        </w:rPr>
      </w:pPr>
    </w:p>
    <w:p w:rsidR="000C0DC4" w:rsidRDefault="00A116D6">
      <w:pPr>
        <w:jc w:val="center"/>
        <w:rPr>
          <w:rFonts w:ascii="黑体" w:eastAsia="黑体" w:hAnsi="黑体"/>
          <w:sz w:val="44"/>
          <w:szCs w:val="44"/>
        </w:rPr>
      </w:pPr>
      <w:r>
        <w:rPr>
          <w:rFonts w:ascii="黑体" w:eastAsia="黑体" w:hAnsi="黑体" w:hint="eastAsia"/>
          <w:sz w:val="44"/>
          <w:szCs w:val="44"/>
        </w:rPr>
        <w:t>目 录</w:t>
      </w:r>
    </w:p>
    <w:p w:rsidR="000C0DC4" w:rsidRDefault="00A116D6">
      <w:pPr>
        <w:spacing w:line="720" w:lineRule="exact"/>
        <w:jc w:val="left"/>
        <w:rPr>
          <w:rFonts w:ascii="黑体" w:eastAsia="黑体" w:hAnsi="黑体"/>
          <w:w w:val="95"/>
          <w:sz w:val="44"/>
          <w:szCs w:val="44"/>
        </w:rPr>
      </w:pPr>
      <w:r>
        <w:rPr>
          <w:rFonts w:ascii="黑体" w:eastAsia="黑体" w:hAnsi="黑体" w:hint="eastAsia"/>
          <w:w w:val="95"/>
          <w:sz w:val="44"/>
          <w:szCs w:val="44"/>
        </w:rPr>
        <w:t>第一部分 福建省气象局职责及概况</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一、主要职责</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二、机构设置</w:t>
      </w:r>
    </w:p>
    <w:p w:rsidR="000C0DC4" w:rsidRDefault="00A116D6">
      <w:pPr>
        <w:spacing w:line="720" w:lineRule="exact"/>
        <w:jc w:val="left"/>
        <w:rPr>
          <w:rFonts w:ascii="黑体" w:eastAsia="黑体" w:hAnsi="黑体"/>
          <w:w w:val="95"/>
          <w:sz w:val="44"/>
          <w:szCs w:val="44"/>
        </w:rPr>
      </w:pPr>
      <w:r>
        <w:rPr>
          <w:rFonts w:ascii="黑体" w:eastAsia="黑体" w:hAnsi="黑体" w:hint="eastAsia"/>
          <w:w w:val="95"/>
          <w:sz w:val="44"/>
          <w:szCs w:val="44"/>
        </w:rPr>
        <w:t>第二部分 福建省气象局20</w:t>
      </w:r>
      <w:r>
        <w:rPr>
          <w:rFonts w:ascii="黑体" w:eastAsia="黑体" w:hAnsi="黑体"/>
          <w:w w:val="95"/>
          <w:sz w:val="44"/>
          <w:szCs w:val="44"/>
        </w:rPr>
        <w:t>21</w:t>
      </w:r>
      <w:r>
        <w:rPr>
          <w:rFonts w:ascii="黑体" w:eastAsia="黑体" w:hAnsi="黑体" w:hint="eastAsia"/>
          <w:w w:val="95"/>
          <w:sz w:val="44"/>
          <w:szCs w:val="44"/>
        </w:rPr>
        <w:t>年部门预算表</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一、部门收支总表</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二、部门收入总表</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三、部门支出总表</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四、财政拨款收支总表</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五、一般公共预算支出表</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六、一般公共预算基本支出表</w:t>
      </w:r>
    </w:p>
    <w:p w:rsidR="000C0DC4" w:rsidRDefault="00A116D6">
      <w:pPr>
        <w:spacing w:line="720" w:lineRule="exact"/>
        <w:jc w:val="left"/>
        <w:rPr>
          <w:rFonts w:ascii="仿宋" w:eastAsia="仿宋" w:hAnsi="仿宋"/>
          <w:sz w:val="44"/>
          <w:szCs w:val="20"/>
        </w:rPr>
      </w:pPr>
      <w:r>
        <w:rPr>
          <w:rFonts w:ascii="仿宋" w:eastAsia="仿宋" w:hAnsi="仿宋" w:hint="eastAsia"/>
          <w:sz w:val="44"/>
          <w:szCs w:val="20"/>
        </w:rPr>
        <w:t>七、一般公共预算“三公”经费支出表</w:t>
      </w:r>
    </w:p>
    <w:p w:rsidR="000C0DC4" w:rsidRDefault="00A116D6">
      <w:pPr>
        <w:spacing w:line="720" w:lineRule="exact"/>
        <w:jc w:val="left"/>
        <w:rPr>
          <w:rFonts w:ascii="仿宋" w:eastAsia="仿宋" w:hAnsi="仿宋" w:cs="仿宋"/>
          <w:sz w:val="44"/>
          <w:szCs w:val="20"/>
        </w:rPr>
      </w:pPr>
      <w:r>
        <w:rPr>
          <w:rFonts w:ascii="仿宋" w:eastAsia="仿宋" w:hAnsi="仿宋" w:cs="仿宋" w:hint="eastAsia"/>
          <w:sz w:val="44"/>
          <w:szCs w:val="20"/>
          <w:lang w:bidi="ar"/>
        </w:rPr>
        <w:t>八、政府性基金预算支出表(该表无数据）</w:t>
      </w:r>
    </w:p>
    <w:p w:rsidR="000C0DC4" w:rsidRDefault="00A116D6">
      <w:pPr>
        <w:spacing w:line="720" w:lineRule="exact"/>
        <w:jc w:val="left"/>
        <w:rPr>
          <w:rFonts w:ascii="仿宋" w:eastAsia="仿宋" w:hAnsi="仿宋"/>
          <w:sz w:val="44"/>
          <w:szCs w:val="20"/>
        </w:rPr>
      </w:pPr>
      <w:r>
        <w:rPr>
          <w:rFonts w:ascii="仿宋" w:eastAsia="仿宋" w:hAnsi="仿宋" w:cs="仿宋" w:hint="eastAsia"/>
          <w:sz w:val="44"/>
          <w:szCs w:val="20"/>
          <w:lang w:bidi="ar"/>
        </w:rPr>
        <w:t>九、国有资本经营预算表(该表无数据）</w:t>
      </w:r>
    </w:p>
    <w:p w:rsidR="000C0DC4" w:rsidRDefault="00A116D6">
      <w:pPr>
        <w:spacing w:line="720" w:lineRule="exact"/>
        <w:jc w:val="left"/>
        <w:rPr>
          <w:rFonts w:ascii="黑体" w:eastAsia="黑体" w:hAnsi="黑体"/>
          <w:w w:val="95"/>
          <w:sz w:val="44"/>
          <w:szCs w:val="44"/>
        </w:rPr>
      </w:pPr>
      <w:r>
        <w:rPr>
          <w:rFonts w:ascii="黑体" w:eastAsia="黑体" w:hAnsi="黑体" w:hint="eastAsia"/>
          <w:w w:val="95"/>
          <w:sz w:val="44"/>
          <w:szCs w:val="44"/>
        </w:rPr>
        <w:t>第三部分 福建省气象局20</w:t>
      </w:r>
      <w:r>
        <w:rPr>
          <w:rFonts w:ascii="黑体" w:eastAsia="黑体" w:hAnsi="黑体"/>
          <w:w w:val="95"/>
          <w:sz w:val="44"/>
          <w:szCs w:val="44"/>
        </w:rPr>
        <w:t>21</w:t>
      </w:r>
      <w:r>
        <w:rPr>
          <w:rFonts w:ascii="黑体" w:eastAsia="黑体" w:hAnsi="黑体" w:hint="eastAsia"/>
          <w:w w:val="95"/>
          <w:sz w:val="44"/>
          <w:szCs w:val="44"/>
        </w:rPr>
        <w:t>年部门预算情况说明</w:t>
      </w:r>
    </w:p>
    <w:p w:rsidR="000C0DC4" w:rsidRDefault="00A116D6">
      <w:pPr>
        <w:spacing w:line="720" w:lineRule="exact"/>
        <w:jc w:val="left"/>
        <w:rPr>
          <w:rFonts w:ascii="黑体" w:eastAsia="黑体" w:hAnsi="黑体"/>
          <w:w w:val="95"/>
          <w:sz w:val="44"/>
          <w:szCs w:val="44"/>
        </w:rPr>
      </w:pPr>
      <w:r>
        <w:rPr>
          <w:rFonts w:ascii="黑体" w:eastAsia="黑体" w:hAnsi="黑体" w:hint="eastAsia"/>
          <w:w w:val="95"/>
          <w:sz w:val="44"/>
          <w:szCs w:val="44"/>
        </w:rPr>
        <w:t>第四部分 名词解释</w:t>
      </w:r>
    </w:p>
    <w:p w:rsidR="000C0DC4" w:rsidRDefault="00A116D6" w:rsidP="00CC47A8">
      <w:pPr>
        <w:ind w:firstLineChars="196" w:firstLine="706"/>
        <w:jc w:val="center"/>
        <w:rPr>
          <w:rFonts w:ascii="方正小标宋简体" w:eastAsia="方正小标宋简体" w:hAnsi="黑体"/>
          <w:sz w:val="36"/>
          <w:szCs w:val="36"/>
        </w:rPr>
      </w:pPr>
      <w:r>
        <w:rPr>
          <w:rFonts w:ascii="方正小标宋简体" w:eastAsia="方正小标宋简体" w:hAnsi="黑体" w:hint="eastAsia"/>
          <w:sz w:val="36"/>
          <w:szCs w:val="36"/>
        </w:rPr>
        <w:lastRenderedPageBreak/>
        <w:t>第一部分</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福建省气象局职责及概况</w:t>
      </w:r>
    </w:p>
    <w:p w:rsidR="000C0DC4" w:rsidRDefault="000C0DC4" w:rsidP="00CC47A8">
      <w:pPr>
        <w:ind w:firstLineChars="196" w:firstLine="706"/>
        <w:rPr>
          <w:rFonts w:ascii="黑体" w:eastAsia="黑体" w:hAnsi="黑体"/>
          <w:sz w:val="36"/>
          <w:szCs w:val="36"/>
        </w:rPr>
      </w:pPr>
    </w:p>
    <w:p w:rsidR="000C0DC4" w:rsidRDefault="00A116D6">
      <w:pPr>
        <w:ind w:firstLineChars="196" w:firstLine="627"/>
        <w:rPr>
          <w:rFonts w:ascii="黑体" w:eastAsia="黑体" w:hAnsi="黑体"/>
          <w:sz w:val="32"/>
          <w:szCs w:val="32"/>
        </w:rPr>
      </w:pPr>
      <w:r>
        <w:rPr>
          <w:rFonts w:ascii="黑体" w:eastAsia="黑体" w:hAnsi="黑体" w:hint="eastAsia"/>
          <w:sz w:val="32"/>
          <w:szCs w:val="32"/>
        </w:rPr>
        <w:t>一、主要职责</w:t>
      </w:r>
    </w:p>
    <w:p w:rsidR="000C0DC4" w:rsidRDefault="00B94381">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A116D6">
        <w:rPr>
          <w:rFonts w:ascii="仿宋_GB2312" w:eastAsia="仿宋_GB2312"/>
          <w:sz w:val="32"/>
          <w:szCs w:val="32"/>
        </w:rPr>
        <w:t>一</w:t>
      </w:r>
      <w:r>
        <w:rPr>
          <w:rFonts w:ascii="仿宋_GB2312" w:eastAsia="仿宋_GB2312" w:hint="eastAsia"/>
          <w:sz w:val="32"/>
          <w:szCs w:val="32"/>
        </w:rPr>
        <w:t>）</w:t>
      </w:r>
      <w:r w:rsidR="00A116D6">
        <w:rPr>
          <w:rFonts w:ascii="仿宋_GB2312" w:eastAsia="仿宋_GB2312"/>
          <w:sz w:val="32"/>
          <w:szCs w:val="32"/>
        </w:rPr>
        <w:t xml:space="preserve">制定地方气象事业发展规划、计划,并负责本行政区域内气象事业发展规划、计划及气象业务建设的组织实施;负责本行政区域内重要气象设施建设项目的审查;对本行政区域内的气象活动进行指导、监督和行业管理。 </w:t>
      </w:r>
    </w:p>
    <w:p w:rsidR="000C0DC4" w:rsidRDefault="00B94381">
      <w:pPr>
        <w:spacing w:line="600" w:lineRule="exact"/>
        <w:ind w:firstLineChars="225" w:firstLine="720"/>
        <w:rPr>
          <w:rFonts w:ascii="仿宋_GB2312" w:eastAsia="仿宋_GB2312"/>
          <w:sz w:val="32"/>
          <w:szCs w:val="32"/>
        </w:rPr>
      </w:pPr>
      <w:r>
        <w:rPr>
          <w:rFonts w:ascii="仿宋_GB2312" w:eastAsia="仿宋_GB2312" w:hint="eastAsia"/>
          <w:sz w:val="32"/>
          <w:szCs w:val="32"/>
        </w:rPr>
        <w:t>（</w:t>
      </w:r>
      <w:r w:rsidR="00A116D6">
        <w:rPr>
          <w:rFonts w:ascii="仿宋_GB2312" w:eastAsia="仿宋_GB2312" w:hint="eastAsia"/>
          <w:sz w:val="32"/>
          <w:szCs w:val="32"/>
        </w:rPr>
        <w:t>二</w:t>
      </w:r>
      <w:r>
        <w:rPr>
          <w:rFonts w:ascii="仿宋_GB2312" w:eastAsia="仿宋_GB2312" w:hint="eastAsia"/>
          <w:sz w:val="32"/>
          <w:szCs w:val="32"/>
        </w:rPr>
        <w:t>）</w:t>
      </w:r>
      <w:r w:rsidR="00A116D6">
        <w:rPr>
          <w:rFonts w:ascii="仿宋_GB2312" w:eastAsia="仿宋_GB2312" w:hint="eastAsia"/>
          <w:sz w:val="32"/>
          <w:szCs w:val="32"/>
        </w:rPr>
        <w:t>按照职责权限审批气象台</w:t>
      </w:r>
      <w:proofErr w:type="gramStart"/>
      <w:r w:rsidR="00A116D6">
        <w:rPr>
          <w:rFonts w:ascii="仿宋_GB2312" w:eastAsia="仿宋_GB2312" w:hint="eastAsia"/>
          <w:sz w:val="32"/>
          <w:szCs w:val="32"/>
        </w:rPr>
        <w:t>站调整</w:t>
      </w:r>
      <w:proofErr w:type="gramEnd"/>
      <w:r w:rsidR="00A116D6">
        <w:rPr>
          <w:rFonts w:ascii="仿宋_GB2312" w:eastAsia="仿宋_GB2312" w:hint="eastAsia"/>
          <w:sz w:val="32"/>
          <w:szCs w:val="32"/>
        </w:rPr>
        <w:t xml:space="preserve">计划;组织管理本行政区域内气象探测资料的汇总、分发;依法保护气象探测环境;管理本行政区域内涉外气象活动。 </w:t>
      </w:r>
    </w:p>
    <w:p w:rsidR="000C0DC4" w:rsidRDefault="00B94381">
      <w:pPr>
        <w:spacing w:line="600" w:lineRule="exact"/>
        <w:ind w:firstLineChars="225" w:firstLine="720"/>
        <w:rPr>
          <w:rFonts w:ascii="仿宋_GB2312" w:eastAsia="仿宋_GB2312"/>
          <w:sz w:val="32"/>
          <w:szCs w:val="32"/>
        </w:rPr>
      </w:pPr>
      <w:r>
        <w:rPr>
          <w:rFonts w:ascii="仿宋_GB2312" w:eastAsia="仿宋_GB2312" w:hint="eastAsia"/>
          <w:sz w:val="32"/>
          <w:szCs w:val="32"/>
        </w:rPr>
        <w:t>（</w:t>
      </w:r>
      <w:r w:rsidR="00A116D6">
        <w:rPr>
          <w:rFonts w:ascii="仿宋_GB2312" w:eastAsia="仿宋_GB2312" w:hint="eastAsia"/>
          <w:sz w:val="32"/>
          <w:szCs w:val="32"/>
        </w:rPr>
        <w:t>三</w:t>
      </w:r>
      <w:r>
        <w:rPr>
          <w:rFonts w:ascii="仿宋_GB2312" w:eastAsia="仿宋_GB2312" w:hint="eastAsia"/>
          <w:sz w:val="32"/>
          <w:szCs w:val="32"/>
        </w:rPr>
        <w:t>）</w:t>
      </w:r>
      <w:r w:rsidR="00A116D6">
        <w:rPr>
          <w:rFonts w:ascii="仿宋_GB2312" w:eastAsia="仿宋_GB2312" w:hint="eastAsia"/>
          <w:sz w:val="32"/>
          <w:szCs w:val="32"/>
        </w:rPr>
        <w:t xml:space="preserve">在本行政区域内组织对重大灾害性天气跨地区、跨部门的联合监测、预报工作,及时提出气象灾害防御措施,并对重大气象灾害做出评估,为本级人民政府组织防御气象灾害提供决策依据;管理本行政区域内公众气象预报、灾害性天气警报以及农业气象预报、城市环境气象预报、火险气象等级预报等专业气象预报的发布。 </w:t>
      </w:r>
    </w:p>
    <w:p w:rsidR="000C0DC4" w:rsidRDefault="00B94381">
      <w:pPr>
        <w:spacing w:line="600" w:lineRule="exact"/>
        <w:ind w:firstLineChars="225" w:firstLine="720"/>
        <w:rPr>
          <w:rFonts w:ascii="仿宋_GB2312" w:eastAsia="仿宋_GB2312"/>
          <w:sz w:val="32"/>
          <w:szCs w:val="32"/>
        </w:rPr>
      </w:pPr>
      <w:r>
        <w:rPr>
          <w:rFonts w:ascii="仿宋_GB2312" w:eastAsia="仿宋_GB2312" w:hint="eastAsia"/>
          <w:sz w:val="32"/>
          <w:szCs w:val="32"/>
        </w:rPr>
        <w:t>（</w:t>
      </w:r>
      <w:r w:rsidR="00A116D6">
        <w:rPr>
          <w:rFonts w:ascii="仿宋_GB2312" w:eastAsia="仿宋_GB2312" w:hint="eastAsia"/>
          <w:sz w:val="32"/>
          <w:szCs w:val="32"/>
        </w:rPr>
        <w:t>四</w:t>
      </w:r>
      <w:r>
        <w:rPr>
          <w:rFonts w:ascii="仿宋_GB2312" w:eastAsia="仿宋_GB2312" w:hint="eastAsia"/>
          <w:sz w:val="32"/>
          <w:szCs w:val="32"/>
        </w:rPr>
        <w:t>）</w:t>
      </w:r>
      <w:r w:rsidR="00A116D6">
        <w:rPr>
          <w:rFonts w:ascii="仿宋_GB2312" w:eastAsia="仿宋_GB2312" w:hint="eastAsia"/>
          <w:sz w:val="32"/>
          <w:szCs w:val="32"/>
        </w:rPr>
        <w:t xml:space="preserve">制定人工影响天气作业方案,并在本级人民政府的领导和协调下,管理、指导和组织实施人工影响天气作业;组织管理雷电灾害防御工作,会同有关部门指导对可能遭受袭击的建筑物、构筑物和其它设施安装的雷电灾害防护装置的检测工作。 </w:t>
      </w:r>
    </w:p>
    <w:p w:rsidR="000C0DC4" w:rsidRDefault="00B94381">
      <w:pPr>
        <w:spacing w:line="600" w:lineRule="exact"/>
        <w:ind w:firstLineChars="225" w:firstLine="720"/>
        <w:rPr>
          <w:rFonts w:ascii="仿宋_GB2312" w:eastAsia="仿宋_GB2312"/>
          <w:sz w:val="32"/>
          <w:szCs w:val="32"/>
        </w:rPr>
      </w:pPr>
      <w:r>
        <w:rPr>
          <w:rFonts w:ascii="仿宋_GB2312" w:eastAsia="仿宋_GB2312" w:hint="eastAsia"/>
          <w:sz w:val="32"/>
          <w:szCs w:val="32"/>
        </w:rPr>
        <w:t>（</w:t>
      </w:r>
      <w:r w:rsidR="00A116D6">
        <w:rPr>
          <w:rFonts w:ascii="仿宋_GB2312" w:eastAsia="仿宋_GB2312" w:hint="eastAsia"/>
          <w:sz w:val="32"/>
          <w:szCs w:val="32"/>
        </w:rPr>
        <w:t>五</w:t>
      </w:r>
      <w:r>
        <w:rPr>
          <w:rFonts w:ascii="仿宋_GB2312" w:eastAsia="仿宋_GB2312" w:hint="eastAsia"/>
          <w:sz w:val="32"/>
          <w:szCs w:val="32"/>
        </w:rPr>
        <w:t>）</w:t>
      </w:r>
      <w:r w:rsidR="00A116D6">
        <w:rPr>
          <w:rFonts w:ascii="仿宋_GB2312" w:eastAsia="仿宋_GB2312" w:hint="eastAsia"/>
          <w:sz w:val="32"/>
          <w:szCs w:val="32"/>
        </w:rPr>
        <w:t xml:space="preserve">负责向本级人民政府和同级有关部门提出利用、保护气候资源和推广应用气候资源区划等成果的建议;组织对气候资源开发利用项目进行气候可行性论证。 </w:t>
      </w:r>
    </w:p>
    <w:p w:rsidR="000C0DC4" w:rsidRDefault="00B94381">
      <w:pPr>
        <w:spacing w:line="600" w:lineRule="exact"/>
        <w:ind w:firstLineChars="225" w:firstLine="720"/>
        <w:rPr>
          <w:rFonts w:ascii="仿宋_GB2312" w:eastAsia="仿宋_GB2312"/>
          <w:sz w:val="32"/>
          <w:szCs w:val="32"/>
        </w:rPr>
      </w:pPr>
      <w:r>
        <w:rPr>
          <w:rFonts w:ascii="仿宋_GB2312" w:eastAsia="仿宋_GB2312" w:hint="eastAsia"/>
          <w:sz w:val="32"/>
          <w:szCs w:val="32"/>
        </w:rPr>
        <w:lastRenderedPageBreak/>
        <w:t>（</w:t>
      </w:r>
      <w:r w:rsidR="00A116D6">
        <w:rPr>
          <w:rFonts w:ascii="仿宋_GB2312" w:eastAsia="仿宋_GB2312" w:hint="eastAsia"/>
          <w:sz w:val="32"/>
          <w:szCs w:val="32"/>
        </w:rPr>
        <w:t>六</w:t>
      </w:r>
      <w:r>
        <w:rPr>
          <w:rFonts w:ascii="仿宋_GB2312" w:eastAsia="仿宋_GB2312" w:hint="eastAsia"/>
          <w:sz w:val="32"/>
          <w:szCs w:val="32"/>
        </w:rPr>
        <w:t>）</w:t>
      </w:r>
      <w:r w:rsidR="00A116D6">
        <w:rPr>
          <w:rFonts w:ascii="仿宋_GB2312" w:eastAsia="仿宋_GB2312" w:hint="eastAsia"/>
          <w:sz w:val="32"/>
          <w:szCs w:val="32"/>
        </w:rPr>
        <w:t xml:space="preserve">组织开展气象法制宣传教育,负责监督有关气象法规的实施,对违反《中华人民共和国气象法》有关规定的行为依法进行处罚,承担有关行政复议和行政诉讼。 </w:t>
      </w:r>
    </w:p>
    <w:p w:rsidR="000C0DC4" w:rsidRDefault="00B94381">
      <w:pPr>
        <w:spacing w:line="600" w:lineRule="exact"/>
        <w:ind w:firstLineChars="225" w:firstLine="720"/>
        <w:rPr>
          <w:rFonts w:ascii="仿宋_GB2312" w:eastAsia="仿宋_GB2312"/>
          <w:sz w:val="32"/>
          <w:szCs w:val="32"/>
        </w:rPr>
      </w:pPr>
      <w:r>
        <w:rPr>
          <w:rFonts w:ascii="仿宋_GB2312" w:eastAsia="仿宋_GB2312" w:hint="eastAsia"/>
          <w:sz w:val="32"/>
          <w:szCs w:val="32"/>
        </w:rPr>
        <w:t>（</w:t>
      </w:r>
      <w:r w:rsidR="00A116D6">
        <w:rPr>
          <w:rFonts w:ascii="仿宋_GB2312" w:eastAsia="仿宋_GB2312" w:hint="eastAsia"/>
          <w:sz w:val="32"/>
          <w:szCs w:val="32"/>
        </w:rPr>
        <w:t>七</w:t>
      </w:r>
      <w:r>
        <w:rPr>
          <w:rFonts w:ascii="仿宋_GB2312" w:eastAsia="仿宋_GB2312" w:hint="eastAsia"/>
          <w:sz w:val="32"/>
          <w:szCs w:val="32"/>
        </w:rPr>
        <w:t>）</w:t>
      </w:r>
      <w:r w:rsidR="00A116D6">
        <w:rPr>
          <w:rFonts w:ascii="仿宋_GB2312" w:eastAsia="仿宋_GB2312" w:hint="eastAsia"/>
          <w:sz w:val="32"/>
          <w:szCs w:val="32"/>
        </w:rPr>
        <w:t xml:space="preserve">统一领导和管理本行政区域内气象部门的计划财务、机构编制、人事劳动、科研和培训以及业务建设等工作;会同地级市人民政府对所辖气象机构实施以部门为主的双重管理;会同地方党委和人民政府做好当地气象部门的精神文明建设和思想政治工作。 </w:t>
      </w:r>
    </w:p>
    <w:p w:rsidR="000C0DC4" w:rsidRDefault="00B94381">
      <w:pPr>
        <w:spacing w:line="600" w:lineRule="exact"/>
        <w:ind w:firstLineChars="225" w:firstLine="720"/>
        <w:rPr>
          <w:rFonts w:ascii="仿宋_GB2312" w:eastAsia="仿宋_GB2312"/>
          <w:sz w:val="32"/>
          <w:szCs w:val="32"/>
        </w:rPr>
      </w:pPr>
      <w:r>
        <w:rPr>
          <w:rFonts w:ascii="仿宋_GB2312" w:eastAsia="仿宋_GB2312" w:hint="eastAsia"/>
          <w:sz w:val="32"/>
          <w:szCs w:val="32"/>
        </w:rPr>
        <w:t>（</w:t>
      </w:r>
      <w:r w:rsidR="00A116D6">
        <w:rPr>
          <w:rFonts w:ascii="仿宋_GB2312" w:eastAsia="仿宋_GB2312" w:hint="eastAsia"/>
          <w:sz w:val="32"/>
          <w:szCs w:val="32"/>
        </w:rPr>
        <w:t>八</w:t>
      </w:r>
      <w:r>
        <w:rPr>
          <w:rFonts w:ascii="仿宋_GB2312" w:eastAsia="仿宋_GB2312" w:hint="eastAsia"/>
          <w:sz w:val="32"/>
          <w:szCs w:val="32"/>
        </w:rPr>
        <w:t>）</w:t>
      </w:r>
      <w:r w:rsidR="00A116D6">
        <w:rPr>
          <w:rFonts w:ascii="仿宋_GB2312" w:eastAsia="仿宋_GB2312" w:hint="eastAsia"/>
          <w:sz w:val="32"/>
          <w:szCs w:val="32"/>
        </w:rPr>
        <w:t>承担中国气象局和福建省人民政府交办的其它事项。</w:t>
      </w:r>
    </w:p>
    <w:p w:rsidR="000C0DC4" w:rsidRDefault="00A116D6">
      <w:pPr>
        <w:ind w:firstLineChars="196" w:firstLine="627"/>
        <w:rPr>
          <w:rFonts w:ascii="黑体" w:eastAsia="黑体" w:hAnsi="黑体"/>
          <w:sz w:val="32"/>
          <w:szCs w:val="32"/>
        </w:rPr>
      </w:pPr>
      <w:r>
        <w:rPr>
          <w:rFonts w:ascii="黑体" w:eastAsia="黑体" w:hAnsi="黑体" w:hint="eastAsia"/>
          <w:sz w:val="32"/>
          <w:szCs w:val="32"/>
        </w:rPr>
        <w:t>二、机构设置</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纳入福建省气象局202</w:t>
      </w:r>
      <w:r>
        <w:rPr>
          <w:rFonts w:ascii="仿宋_GB2312" w:eastAsia="仿宋_GB2312"/>
          <w:sz w:val="32"/>
          <w:szCs w:val="32"/>
        </w:rPr>
        <w:t>1</w:t>
      </w:r>
      <w:r>
        <w:rPr>
          <w:rFonts w:ascii="仿宋_GB2312" w:eastAsia="仿宋_GB2312" w:hint="eastAsia"/>
          <w:sz w:val="32"/>
          <w:szCs w:val="32"/>
        </w:rPr>
        <w:t>年部门预算编制范围的三级预算单位包括：</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1.福建省气象局本级</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2.福建省气象台</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3.福建省气象科学研究所</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4.福建省气象服务中心</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5.福建省气象信息中心</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6.福建省气象灾害防御技术中心</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7.福建省福州市气象局</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8.福建省三明市气象局</w:t>
      </w:r>
    </w:p>
    <w:p w:rsidR="00CC47A8"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9.福建省南平市气象局</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10.福建省宁德市气象局</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11.福建省莆田市气象局</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lastRenderedPageBreak/>
        <w:t>12.福建省泉州市气象局</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13.福建省漳州市气象局</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14.福建省龙岩市气象局</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15.福建省气候中心</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16.福建省大气探测技术保障中心</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17.福建省气象局机关服务中心</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18.福建省气象宣传科普教育中心</w:t>
      </w:r>
    </w:p>
    <w:p w:rsidR="000C0DC4" w:rsidRDefault="00A116D6">
      <w:pPr>
        <w:spacing w:line="574" w:lineRule="exact"/>
        <w:ind w:firstLineChars="200" w:firstLine="640"/>
        <w:rPr>
          <w:rFonts w:ascii="仿宋_GB2312" w:eastAsia="仿宋_GB2312"/>
          <w:sz w:val="32"/>
          <w:szCs w:val="32"/>
        </w:rPr>
      </w:pPr>
      <w:r>
        <w:rPr>
          <w:rFonts w:ascii="仿宋_GB2312" w:eastAsia="仿宋_GB2312" w:hint="eastAsia"/>
          <w:sz w:val="32"/>
          <w:szCs w:val="32"/>
        </w:rPr>
        <w:t>19.福建省平潭综合实验区气象局</w:t>
      </w:r>
    </w:p>
    <w:p w:rsidR="000C0DC4" w:rsidRDefault="000C0DC4">
      <w:pPr>
        <w:spacing w:line="574" w:lineRule="exact"/>
        <w:ind w:firstLineChars="200" w:firstLine="640"/>
        <w:rPr>
          <w:rFonts w:ascii="仿宋_GB2312" w:eastAsia="仿宋_GB2312"/>
          <w:sz w:val="32"/>
          <w:szCs w:val="32"/>
        </w:rPr>
      </w:pPr>
    </w:p>
    <w:p w:rsidR="000C0DC4" w:rsidRDefault="000C0DC4">
      <w:pPr>
        <w:spacing w:line="574" w:lineRule="exact"/>
        <w:ind w:firstLineChars="200" w:firstLine="640"/>
        <w:rPr>
          <w:rFonts w:ascii="仿宋_GB2312" w:eastAsia="仿宋_GB2312"/>
          <w:sz w:val="32"/>
          <w:szCs w:val="32"/>
        </w:rPr>
      </w:pPr>
    </w:p>
    <w:p w:rsidR="000C0DC4" w:rsidRDefault="000C0DC4">
      <w:pPr>
        <w:spacing w:line="574" w:lineRule="exact"/>
        <w:ind w:firstLineChars="200" w:firstLine="640"/>
        <w:rPr>
          <w:rFonts w:ascii="仿宋_GB2312" w:eastAsia="仿宋_GB2312"/>
          <w:sz w:val="32"/>
          <w:szCs w:val="32"/>
        </w:rPr>
      </w:pPr>
    </w:p>
    <w:p w:rsidR="000C0DC4" w:rsidRDefault="000C0DC4">
      <w:pPr>
        <w:spacing w:line="574" w:lineRule="exact"/>
        <w:ind w:firstLineChars="200" w:firstLine="640"/>
        <w:rPr>
          <w:rFonts w:ascii="仿宋_GB2312" w:eastAsia="仿宋_GB2312"/>
          <w:sz w:val="32"/>
          <w:szCs w:val="32"/>
        </w:rPr>
      </w:pPr>
    </w:p>
    <w:p w:rsidR="000C0DC4" w:rsidRDefault="000C0DC4">
      <w:pPr>
        <w:spacing w:line="574" w:lineRule="exact"/>
        <w:ind w:firstLineChars="200" w:firstLine="640"/>
        <w:rPr>
          <w:rFonts w:ascii="仿宋_GB2312" w:eastAsia="仿宋_GB2312"/>
          <w:sz w:val="32"/>
          <w:szCs w:val="32"/>
        </w:rPr>
      </w:pPr>
    </w:p>
    <w:p w:rsidR="000C0DC4" w:rsidRDefault="000C0DC4">
      <w:pPr>
        <w:spacing w:line="574" w:lineRule="exact"/>
        <w:ind w:firstLineChars="200" w:firstLine="640"/>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0C0DC4">
      <w:pPr>
        <w:spacing w:line="574" w:lineRule="exact"/>
        <w:rPr>
          <w:rFonts w:ascii="仿宋_GB2312" w:eastAsia="仿宋_GB2312"/>
          <w:sz w:val="32"/>
          <w:szCs w:val="32"/>
        </w:rPr>
      </w:pPr>
    </w:p>
    <w:p w:rsidR="000C0DC4" w:rsidRDefault="00A116D6">
      <w:pPr>
        <w:spacing w:line="574"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lastRenderedPageBreak/>
        <w:t>第二部分</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福建省气象局</w:t>
      </w:r>
      <w:r>
        <w:rPr>
          <w:rFonts w:ascii="方正小标宋简体" w:eastAsia="方正小标宋简体" w:hAnsi="黑体"/>
          <w:sz w:val="36"/>
          <w:szCs w:val="36"/>
        </w:rPr>
        <w:t>2021</w:t>
      </w:r>
      <w:r>
        <w:rPr>
          <w:rFonts w:ascii="方正小标宋简体" w:eastAsia="方正小标宋简体" w:hAnsi="黑体" w:hint="eastAsia"/>
          <w:sz w:val="36"/>
          <w:szCs w:val="36"/>
        </w:rPr>
        <w:t>年部门预算表</w:t>
      </w:r>
    </w:p>
    <w:p w:rsidR="000C0DC4" w:rsidRDefault="000C0DC4"/>
    <w:p w:rsidR="000C0DC4" w:rsidRDefault="00A116D6">
      <w:pPr>
        <w:ind w:leftChars="-607" w:left="-1275"/>
        <w:jc w:val="center"/>
      </w:pPr>
      <w:r>
        <w:rPr>
          <w:rFonts w:hint="eastAsia"/>
        </w:rPr>
        <w:t xml:space="preserve">                                                                            </w:t>
      </w:r>
      <w:r>
        <w:rPr>
          <w:rFonts w:hint="eastAsia"/>
          <w:sz w:val="15"/>
          <w:szCs w:val="15"/>
        </w:rPr>
        <w:t>部门公开表</w:t>
      </w:r>
      <w:r>
        <w:rPr>
          <w:rFonts w:hint="eastAsia"/>
          <w:sz w:val="15"/>
          <w:szCs w:val="15"/>
        </w:rPr>
        <w:t>1</w:t>
      </w:r>
    </w:p>
    <w:p w:rsidR="000C0DC4" w:rsidRDefault="00A116D6">
      <w:r>
        <w:rPr>
          <w:noProof/>
        </w:rPr>
        <w:drawing>
          <wp:inline distT="0" distB="0" distL="114300" distR="114300">
            <wp:extent cx="5609590" cy="5030470"/>
            <wp:effectExtent l="0" t="0" r="13970" b="1397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9"/>
                    <a:stretch>
                      <a:fillRect/>
                    </a:stretch>
                  </pic:blipFill>
                  <pic:spPr>
                    <a:xfrm>
                      <a:off x="0" y="0"/>
                      <a:ext cx="5609590" cy="5030470"/>
                    </a:xfrm>
                    <a:prstGeom prst="rect">
                      <a:avLst/>
                    </a:prstGeom>
                    <a:noFill/>
                    <a:ln w="9525">
                      <a:noFill/>
                    </a:ln>
                  </pic:spPr>
                </pic:pic>
              </a:graphicData>
            </a:graphic>
          </wp:inline>
        </w:drawing>
      </w:r>
    </w:p>
    <w:p w:rsidR="000C0DC4" w:rsidRDefault="00A116D6">
      <w:bookmarkStart w:id="0" w:name="RANGE!B2:E21"/>
      <w:bookmarkEnd w:id="0"/>
      <w:r>
        <w:t xml:space="preserve"> </w:t>
      </w:r>
    </w:p>
    <w:p w:rsidR="000C0DC4" w:rsidRDefault="00A116D6">
      <w:pPr>
        <w:rPr>
          <w:rFonts w:ascii="Calibri" w:hAnsi="Calibri"/>
          <w:szCs w:val="22"/>
        </w:rPr>
        <w:sectPr w:rsidR="000C0DC4">
          <w:headerReference w:type="even" r:id="rId10"/>
          <w:headerReference w:type="default" r:id="rId11"/>
          <w:footerReference w:type="default" r:id="rId12"/>
          <w:pgSz w:w="11906" w:h="16838"/>
          <w:pgMar w:top="1440" w:right="1474" w:bottom="1440" w:left="1588" w:header="851" w:footer="992" w:gutter="0"/>
          <w:cols w:space="425"/>
          <w:docGrid w:type="lines" w:linePitch="312"/>
        </w:sectPr>
      </w:pPr>
      <w:r>
        <w:br w:type="page"/>
      </w:r>
    </w:p>
    <w:p w:rsidR="000C0DC4" w:rsidRDefault="00A116D6">
      <w:pPr>
        <w:jc w:val="center"/>
      </w:pPr>
      <w:r>
        <w:rPr>
          <w:noProof/>
        </w:rPr>
        <w:lastRenderedPageBreak/>
        <w:drawing>
          <wp:inline distT="0" distB="0" distL="114300" distR="114300">
            <wp:extent cx="5615940" cy="583311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615940" cy="5833110"/>
                    </a:xfrm>
                    <a:prstGeom prst="rect">
                      <a:avLst/>
                    </a:prstGeom>
                    <a:noFill/>
                    <a:ln w="9525">
                      <a:noFill/>
                    </a:ln>
                  </pic:spPr>
                </pic:pic>
              </a:graphicData>
            </a:graphic>
          </wp:inline>
        </w:drawing>
      </w:r>
    </w:p>
    <w:p w:rsidR="000C0DC4" w:rsidRDefault="00A116D6">
      <w:r>
        <w:rPr>
          <w:noProof/>
        </w:rPr>
        <w:lastRenderedPageBreak/>
        <w:drawing>
          <wp:inline distT="0" distB="0" distL="114300" distR="114300">
            <wp:extent cx="5614035" cy="8585200"/>
            <wp:effectExtent l="0" t="0" r="9525" b="1016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4"/>
                    <a:stretch>
                      <a:fillRect/>
                    </a:stretch>
                  </pic:blipFill>
                  <pic:spPr>
                    <a:xfrm>
                      <a:off x="0" y="0"/>
                      <a:ext cx="5614035" cy="8585200"/>
                    </a:xfrm>
                    <a:prstGeom prst="rect">
                      <a:avLst/>
                    </a:prstGeom>
                    <a:noFill/>
                    <a:ln w="9525">
                      <a:noFill/>
                    </a:ln>
                  </pic:spPr>
                </pic:pic>
              </a:graphicData>
            </a:graphic>
          </wp:inline>
        </w:drawing>
      </w:r>
    </w:p>
    <w:p w:rsidR="000C0DC4" w:rsidRDefault="00A116D6">
      <w:r>
        <w:rPr>
          <w:noProof/>
        </w:rPr>
        <w:lastRenderedPageBreak/>
        <w:drawing>
          <wp:inline distT="0" distB="0" distL="114300" distR="114300">
            <wp:extent cx="5615305" cy="5340985"/>
            <wp:effectExtent l="0" t="0" r="8255" b="8255"/>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15"/>
                    <a:stretch>
                      <a:fillRect/>
                    </a:stretch>
                  </pic:blipFill>
                  <pic:spPr>
                    <a:xfrm>
                      <a:off x="0" y="0"/>
                      <a:ext cx="5615305" cy="5340985"/>
                    </a:xfrm>
                    <a:prstGeom prst="rect">
                      <a:avLst/>
                    </a:prstGeom>
                    <a:noFill/>
                    <a:ln w="9525">
                      <a:noFill/>
                    </a:ln>
                  </pic:spPr>
                </pic:pic>
              </a:graphicData>
            </a:graphic>
          </wp:inline>
        </w:drawing>
      </w:r>
    </w:p>
    <w:p w:rsidR="000C0DC4" w:rsidRDefault="000C0DC4"/>
    <w:p w:rsidR="000C0DC4" w:rsidRDefault="000C0DC4"/>
    <w:p w:rsidR="000C0DC4" w:rsidRDefault="000C0DC4"/>
    <w:p w:rsidR="000C0DC4" w:rsidRDefault="000C0DC4"/>
    <w:p w:rsidR="000C0DC4" w:rsidRDefault="000C0DC4"/>
    <w:p w:rsidR="000C0DC4" w:rsidRDefault="000C0DC4"/>
    <w:p w:rsidR="000C0DC4" w:rsidRDefault="00A116D6">
      <w:pPr>
        <w:rPr>
          <w:rFonts w:ascii="Calibri" w:hAnsi="Calibri"/>
          <w:szCs w:val="22"/>
        </w:rPr>
      </w:pPr>
      <w:r>
        <w:rPr>
          <w:rFonts w:ascii="Calibri" w:hAnsi="Calibri"/>
          <w:szCs w:val="22"/>
        </w:rPr>
        <w:br w:type="page"/>
      </w:r>
    </w:p>
    <w:p w:rsidR="000C0DC4" w:rsidRDefault="00A116D6">
      <w:pPr>
        <w:ind w:leftChars="-675" w:left="-1418" w:rightChars="-500" w:right="-1050"/>
        <w:jc w:val="center"/>
        <w:rPr>
          <w:rFonts w:ascii="Calibri" w:hAnsi="Calibri"/>
          <w:szCs w:val="22"/>
        </w:rPr>
      </w:pPr>
      <w:r>
        <w:rPr>
          <w:noProof/>
        </w:rPr>
        <w:lastRenderedPageBreak/>
        <w:drawing>
          <wp:inline distT="0" distB="0" distL="114300" distR="114300">
            <wp:extent cx="5613400" cy="7590155"/>
            <wp:effectExtent l="0" t="0" r="10160" b="14605"/>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16"/>
                    <a:stretch>
                      <a:fillRect/>
                    </a:stretch>
                  </pic:blipFill>
                  <pic:spPr>
                    <a:xfrm>
                      <a:off x="0" y="0"/>
                      <a:ext cx="5613400" cy="7590155"/>
                    </a:xfrm>
                    <a:prstGeom prst="rect">
                      <a:avLst/>
                    </a:prstGeom>
                    <a:noFill/>
                    <a:ln w="9525">
                      <a:noFill/>
                    </a:ln>
                  </pic:spPr>
                </pic:pic>
              </a:graphicData>
            </a:graphic>
          </wp:inline>
        </w:drawing>
      </w:r>
    </w:p>
    <w:p w:rsidR="000C0DC4" w:rsidRDefault="000C0DC4">
      <w:pPr>
        <w:ind w:leftChars="-675" w:left="-1418" w:rightChars="-500" w:right="-1050"/>
        <w:jc w:val="center"/>
        <w:rPr>
          <w:rFonts w:ascii="Calibri" w:hAnsi="Calibri"/>
          <w:szCs w:val="22"/>
        </w:rPr>
      </w:pPr>
    </w:p>
    <w:p w:rsidR="000C0DC4" w:rsidRDefault="000C0DC4">
      <w:pPr>
        <w:ind w:leftChars="-675" w:left="-1418" w:rightChars="-500" w:right="-1050"/>
        <w:jc w:val="center"/>
      </w:pPr>
    </w:p>
    <w:p w:rsidR="000C0DC4" w:rsidRDefault="00A116D6">
      <w:pPr>
        <w:ind w:rightChars="-500" w:right="-1050"/>
      </w:pPr>
      <w:r>
        <w:t xml:space="preserve"> </w:t>
      </w:r>
      <w:r>
        <w:br w:type="page"/>
      </w:r>
      <w:r>
        <w:rPr>
          <w:noProof/>
        </w:rPr>
        <w:lastRenderedPageBreak/>
        <w:drawing>
          <wp:inline distT="0" distB="0" distL="114300" distR="114300">
            <wp:extent cx="4561205" cy="8858885"/>
            <wp:effectExtent l="0" t="0" r="10795" b="10795"/>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17"/>
                    <a:stretch>
                      <a:fillRect/>
                    </a:stretch>
                  </pic:blipFill>
                  <pic:spPr>
                    <a:xfrm>
                      <a:off x="0" y="0"/>
                      <a:ext cx="4561205" cy="8858885"/>
                    </a:xfrm>
                    <a:prstGeom prst="rect">
                      <a:avLst/>
                    </a:prstGeom>
                    <a:noFill/>
                    <a:ln w="9525">
                      <a:noFill/>
                    </a:ln>
                  </pic:spPr>
                </pic:pic>
              </a:graphicData>
            </a:graphic>
          </wp:inline>
        </w:drawing>
      </w:r>
    </w:p>
    <w:p w:rsidR="000C0DC4" w:rsidRDefault="000C0DC4"/>
    <w:p w:rsidR="000C0DC4" w:rsidRDefault="000C0DC4"/>
    <w:p w:rsidR="000C0DC4" w:rsidRDefault="000C0DC4"/>
    <w:p w:rsidR="000C0DC4" w:rsidRDefault="00A116D6">
      <w:r>
        <w:rPr>
          <w:noProof/>
        </w:rPr>
        <w:drawing>
          <wp:inline distT="0" distB="0" distL="114300" distR="114300">
            <wp:extent cx="5614035" cy="2571115"/>
            <wp:effectExtent l="0" t="0" r="9525" b="4445"/>
            <wp:docPr id="2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pic:cNvPicPr>
                      <a:picLocks noChangeAspect="1"/>
                    </pic:cNvPicPr>
                  </pic:nvPicPr>
                  <pic:blipFill>
                    <a:blip r:embed="rId18"/>
                    <a:stretch>
                      <a:fillRect/>
                    </a:stretch>
                  </pic:blipFill>
                  <pic:spPr>
                    <a:xfrm>
                      <a:off x="0" y="0"/>
                      <a:ext cx="5614035" cy="2571115"/>
                    </a:xfrm>
                    <a:prstGeom prst="rect">
                      <a:avLst/>
                    </a:prstGeom>
                    <a:noFill/>
                    <a:ln w="9525">
                      <a:noFill/>
                    </a:ln>
                  </pic:spPr>
                </pic:pic>
              </a:graphicData>
            </a:graphic>
          </wp:inline>
        </w:drawing>
      </w:r>
    </w:p>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bookmarkStart w:id="1" w:name="_GoBack"/>
      <w:bookmarkEnd w:id="1"/>
    </w:p>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0C0DC4"/>
    <w:p w:rsidR="000C0DC4" w:rsidRDefault="00A116D6">
      <w:pPr>
        <w:rPr>
          <w:rFonts w:ascii="方正小标宋简体" w:eastAsia="方正小标宋简体" w:hAnsi="黑体"/>
          <w:sz w:val="36"/>
          <w:szCs w:val="36"/>
        </w:rPr>
      </w:pPr>
      <w:r>
        <w:rPr>
          <w:rFonts w:ascii="黑体" w:eastAsia="黑体" w:hAnsi="黑体" w:hint="eastAsia"/>
          <w:sz w:val="36"/>
          <w:szCs w:val="36"/>
        </w:rPr>
        <w:t xml:space="preserve">  </w:t>
      </w:r>
      <w:r>
        <w:rPr>
          <w:rFonts w:ascii="黑体" w:eastAsia="黑体" w:hAnsi="黑体"/>
          <w:sz w:val="36"/>
          <w:szCs w:val="36"/>
        </w:rPr>
        <w:t xml:space="preserve">  </w:t>
      </w:r>
      <w:r>
        <w:rPr>
          <w:rFonts w:ascii="方正小标宋简体" w:eastAsia="方正小标宋简体" w:hAnsi="黑体" w:hint="eastAsia"/>
          <w:sz w:val="36"/>
          <w:szCs w:val="36"/>
        </w:rPr>
        <w:t>第三部分</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福建省气象局</w:t>
      </w:r>
      <w:r>
        <w:rPr>
          <w:rFonts w:ascii="方正小标宋简体" w:eastAsia="方正小标宋简体" w:hAnsi="黑体"/>
          <w:sz w:val="36"/>
          <w:szCs w:val="36"/>
        </w:rPr>
        <w:t>2021</w:t>
      </w:r>
      <w:r>
        <w:rPr>
          <w:rFonts w:ascii="方正小标宋简体" w:eastAsia="方正小标宋简体" w:hAnsi="黑体" w:hint="eastAsia"/>
          <w:sz w:val="36"/>
          <w:szCs w:val="36"/>
        </w:rPr>
        <w:t>年部门预算情况说明</w:t>
      </w:r>
    </w:p>
    <w:p w:rsidR="000C0DC4" w:rsidRDefault="00A116D6">
      <w:pPr>
        <w:ind w:firstLineChars="200" w:firstLine="640"/>
        <w:rPr>
          <w:rFonts w:ascii="黑体" w:eastAsia="黑体" w:hAnsi="黑体"/>
          <w:sz w:val="32"/>
          <w:szCs w:val="32"/>
        </w:rPr>
      </w:pPr>
      <w:r>
        <w:rPr>
          <w:rFonts w:ascii="黑体" w:eastAsia="黑体" w:hAnsi="黑体" w:hint="eastAsia"/>
          <w:sz w:val="32"/>
          <w:szCs w:val="32"/>
        </w:rPr>
        <w:t>一、关于</w:t>
      </w:r>
      <w:r>
        <w:rPr>
          <w:rFonts w:ascii="黑体" w:eastAsia="黑体" w:hAnsi="黑体"/>
          <w:sz w:val="32"/>
          <w:szCs w:val="32"/>
        </w:rPr>
        <w:t>2021</w:t>
      </w:r>
      <w:r>
        <w:rPr>
          <w:rFonts w:ascii="黑体" w:eastAsia="黑体" w:hAnsi="黑体" w:hint="eastAsia"/>
          <w:sz w:val="32"/>
          <w:szCs w:val="32"/>
        </w:rPr>
        <w:t>年部门收支总体情况的说明</w:t>
      </w:r>
    </w:p>
    <w:p w:rsidR="000C0DC4" w:rsidRDefault="00A116D6">
      <w:pPr>
        <w:spacing w:line="600" w:lineRule="exact"/>
        <w:ind w:firstLine="645"/>
        <w:rPr>
          <w:rFonts w:ascii="仿宋_GB2312" w:eastAsia="仿宋_GB2312"/>
          <w:sz w:val="32"/>
          <w:szCs w:val="32"/>
        </w:rPr>
      </w:pPr>
      <w:r>
        <w:rPr>
          <w:rFonts w:ascii="仿宋_GB2312" w:eastAsia="仿宋_GB2312" w:hint="eastAsia"/>
          <w:sz w:val="32"/>
          <w:szCs w:val="32"/>
        </w:rPr>
        <w:t>按照综合预算的原则，气象部门所有收入和支出均纳入部门预算管理。收入包括：一般公共预算拨款收入、事业收入、事业单位经营收入、其他收入、使用非财政</w:t>
      </w:r>
      <w:r>
        <w:rPr>
          <w:rFonts w:ascii="仿宋_GB2312" w:eastAsia="仿宋_GB2312"/>
          <w:sz w:val="32"/>
          <w:szCs w:val="32"/>
        </w:rPr>
        <w:t>结余</w:t>
      </w:r>
      <w:r>
        <w:rPr>
          <w:rFonts w:ascii="仿宋_GB2312" w:eastAsia="仿宋_GB2312" w:hint="eastAsia"/>
          <w:sz w:val="32"/>
          <w:szCs w:val="32"/>
        </w:rPr>
        <w:t>和上年结转；支出包括：科学技术支出、社会保障和就业支出、卫生健康支出、自然资源海洋气象等支出和住房保障支出。福建省气象局2021年收支总预算规模为99830.19万元。</w:t>
      </w:r>
    </w:p>
    <w:p w:rsidR="000C0DC4" w:rsidRDefault="00A116D6">
      <w:pPr>
        <w:ind w:firstLineChars="200" w:firstLine="640"/>
        <w:rPr>
          <w:rFonts w:ascii="黑体" w:eastAsia="黑体" w:hAnsi="黑体"/>
          <w:sz w:val="32"/>
          <w:szCs w:val="32"/>
        </w:rPr>
      </w:pPr>
      <w:r>
        <w:rPr>
          <w:rFonts w:ascii="黑体" w:eastAsia="黑体" w:hAnsi="黑体" w:hint="eastAsia"/>
          <w:sz w:val="32"/>
          <w:szCs w:val="32"/>
        </w:rPr>
        <w:t>二、关于</w:t>
      </w:r>
      <w:r>
        <w:rPr>
          <w:rFonts w:ascii="黑体" w:eastAsia="黑体" w:hAnsi="黑体"/>
          <w:sz w:val="32"/>
          <w:szCs w:val="32"/>
        </w:rPr>
        <w:t>2021</w:t>
      </w:r>
      <w:r>
        <w:rPr>
          <w:rFonts w:ascii="黑体" w:eastAsia="黑体" w:hAnsi="黑体" w:hint="eastAsia"/>
          <w:sz w:val="32"/>
          <w:szCs w:val="32"/>
        </w:rPr>
        <w:t>年部门收入总体情况的说明</w:t>
      </w:r>
    </w:p>
    <w:p w:rsidR="000C0DC4" w:rsidRDefault="00A116D6">
      <w:pPr>
        <w:ind w:firstLineChars="200" w:firstLine="640"/>
        <w:rPr>
          <w:rFonts w:ascii="仿宋_GB2312" w:eastAsia="仿宋_GB2312"/>
          <w:b/>
          <w:sz w:val="32"/>
          <w:szCs w:val="32"/>
        </w:rPr>
      </w:pPr>
      <w:r>
        <w:rPr>
          <w:rFonts w:ascii="仿宋_GB2312" w:eastAsia="仿宋_GB2312" w:hint="eastAsia"/>
          <w:sz w:val="32"/>
          <w:szCs w:val="32"/>
        </w:rPr>
        <w:t>福建省气象局2021年收入总预算99830.19万元，其中：一般公共预算拨款收入22442.07万元，占22.48</w:t>
      </w:r>
      <w:r>
        <w:rPr>
          <w:rFonts w:ascii="仿宋_GB2312" w:eastAsia="仿宋_GB2312"/>
          <w:sz w:val="32"/>
          <w:szCs w:val="32"/>
        </w:rPr>
        <w:t>%</w:t>
      </w:r>
      <w:r>
        <w:rPr>
          <w:rFonts w:ascii="仿宋_GB2312" w:eastAsia="仿宋_GB2312" w:hint="eastAsia"/>
          <w:sz w:val="32"/>
          <w:szCs w:val="32"/>
        </w:rPr>
        <w:t>；事业收入8262.58万元，占</w:t>
      </w:r>
      <w:r>
        <w:rPr>
          <w:rFonts w:ascii="仿宋_GB2312" w:eastAsia="仿宋_GB2312"/>
          <w:sz w:val="32"/>
          <w:szCs w:val="32"/>
        </w:rPr>
        <w:t>8.</w:t>
      </w:r>
      <w:r>
        <w:rPr>
          <w:rFonts w:ascii="仿宋_GB2312" w:eastAsia="仿宋_GB2312" w:hint="eastAsia"/>
          <w:sz w:val="32"/>
          <w:szCs w:val="32"/>
        </w:rPr>
        <w:t>2</w:t>
      </w:r>
      <w:r>
        <w:rPr>
          <w:rFonts w:ascii="仿宋_GB2312" w:eastAsia="仿宋_GB2312"/>
          <w:sz w:val="32"/>
          <w:szCs w:val="32"/>
        </w:rPr>
        <w:t>8%</w:t>
      </w:r>
      <w:r>
        <w:rPr>
          <w:rFonts w:ascii="仿宋_GB2312" w:eastAsia="仿宋_GB2312" w:hint="eastAsia"/>
          <w:sz w:val="32"/>
          <w:szCs w:val="32"/>
        </w:rPr>
        <w:t>；其他收入52380.65万元，占52.47</w:t>
      </w:r>
      <w:r>
        <w:rPr>
          <w:rFonts w:ascii="仿宋_GB2312" w:eastAsia="仿宋_GB2312"/>
          <w:sz w:val="32"/>
          <w:szCs w:val="32"/>
        </w:rPr>
        <w:t>%</w:t>
      </w:r>
      <w:r>
        <w:rPr>
          <w:rFonts w:ascii="仿宋_GB2312" w:eastAsia="仿宋_GB2312" w:hint="eastAsia"/>
          <w:sz w:val="32"/>
          <w:szCs w:val="32"/>
        </w:rPr>
        <w:t>；使用非财政拨款结余4477.05万元，占</w:t>
      </w:r>
      <w:r>
        <w:rPr>
          <w:rFonts w:ascii="仿宋_GB2312" w:eastAsia="仿宋_GB2312"/>
          <w:sz w:val="32"/>
          <w:szCs w:val="32"/>
        </w:rPr>
        <w:t>4.</w:t>
      </w:r>
      <w:r>
        <w:rPr>
          <w:rFonts w:ascii="仿宋_GB2312" w:eastAsia="仿宋_GB2312" w:hint="eastAsia"/>
          <w:sz w:val="32"/>
          <w:szCs w:val="32"/>
        </w:rPr>
        <w:t>48</w:t>
      </w:r>
      <w:r>
        <w:rPr>
          <w:rFonts w:ascii="仿宋_GB2312" w:eastAsia="仿宋_GB2312"/>
          <w:sz w:val="32"/>
          <w:szCs w:val="32"/>
        </w:rPr>
        <w:t>%</w:t>
      </w:r>
      <w:r>
        <w:rPr>
          <w:rFonts w:ascii="仿宋_GB2312" w:eastAsia="仿宋_GB2312" w:hint="eastAsia"/>
          <w:sz w:val="32"/>
          <w:szCs w:val="32"/>
        </w:rPr>
        <w:t>；上年结转12267.84万元，占12.29</w:t>
      </w:r>
      <w:r>
        <w:rPr>
          <w:rFonts w:ascii="仿宋_GB2312" w:eastAsia="仿宋_GB2312"/>
          <w:sz w:val="32"/>
          <w:szCs w:val="32"/>
        </w:rPr>
        <w:t>%</w:t>
      </w:r>
      <w:r>
        <w:rPr>
          <w:rFonts w:ascii="仿宋_GB2312" w:eastAsia="仿宋_GB2312" w:hint="eastAsia"/>
          <w:sz w:val="32"/>
          <w:szCs w:val="32"/>
        </w:rPr>
        <w:t>。</w:t>
      </w:r>
    </w:p>
    <w:p w:rsidR="000C0DC4" w:rsidRDefault="00A116D6">
      <w:pPr>
        <w:spacing w:line="600" w:lineRule="exact"/>
        <w:jc w:val="center"/>
        <w:rPr>
          <w:rFonts w:ascii="仿宋_GB2312" w:eastAsia="仿宋_GB2312"/>
          <w:b/>
          <w:sz w:val="32"/>
          <w:szCs w:val="32"/>
        </w:rPr>
      </w:pPr>
      <w:r>
        <w:rPr>
          <w:rFonts w:ascii="仿宋_GB2312" w:eastAsia="仿宋_GB2312" w:hint="eastAsia"/>
          <w:b/>
          <w:sz w:val="32"/>
          <w:szCs w:val="32"/>
        </w:rPr>
        <w:t>2021年部门收入结构图</w:t>
      </w:r>
    </w:p>
    <w:p w:rsidR="000C0DC4" w:rsidRDefault="00A116D6">
      <w:pPr>
        <w:spacing w:line="600" w:lineRule="exact"/>
        <w:jc w:val="center"/>
        <w:rPr>
          <w:rFonts w:ascii="黑体" w:eastAsia="黑体" w:hAnsi="黑体"/>
          <w:sz w:val="36"/>
          <w:szCs w:val="36"/>
        </w:rPr>
      </w:pPr>
      <w:r>
        <w:rPr>
          <w:rFonts w:asciiTheme="minorEastAsia" w:eastAsiaTheme="minorEastAsia" w:hAnsiTheme="minorEastAsia" w:hint="eastAsia"/>
          <w:szCs w:val="21"/>
        </w:rPr>
        <w:t xml:space="preserve">                                                           单位</w:t>
      </w:r>
      <w:r>
        <w:rPr>
          <w:rFonts w:asciiTheme="minorEastAsia" w:eastAsiaTheme="minorEastAsia" w:hAnsiTheme="minorEastAsia"/>
          <w:szCs w:val="21"/>
        </w:rPr>
        <w:t>：万元</w:t>
      </w:r>
    </w:p>
    <w:p w:rsidR="000C0DC4" w:rsidRDefault="00A116D6">
      <w:pPr>
        <w:ind w:firstLineChars="200" w:firstLine="420"/>
        <w:rPr>
          <w:rFonts w:ascii="黑体" w:eastAsia="黑体" w:hAnsi="黑体"/>
          <w:sz w:val="32"/>
          <w:szCs w:val="32"/>
        </w:rPr>
      </w:pPr>
      <w:r>
        <w:rPr>
          <w:noProof/>
        </w:rPr>
        <w:drawing>
          <wp:inline distT="0" distB="0" distL="114300" distR="114300">
            <wp:extent cx="4805176" cy="2222500"/>
            <wp:effectExtent l="0" t="0" r="0" b="635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9"/>
                    <a:stretch>
                      <a:fillRect/>
                    </a:stretch>
                  </pic:blipFill>
                  <pic:spPr>
                    <a:xfrm>
                      <a:off x="0" y="0"/>
                      <a:ext cx="4813935" cy="2226551"/>
                    </a:xfrm>
                    <a:prstGeom prst="rect">
                      <a:avLst/>
                    </a:prstGeom>
                    <a:noFill/>
                    <a:ln w="9525">
                      <a:noFill/>
                    </a:ln>
                  </pic:spPr>
                </pic:pic>
              </a:graphicData>
            </a:graphic>
          </wp:inline>
        </w:drawing>
      </w:r>
    </w:p>
    <w:p w:rsidR="000C0DC4" w:rsidRDefault="00A116D6">
      <w:pPr>
        <w:ind w:firstLineChars="200" w:firstLine="640"/>
        <w:rPr>
          <w:rFonts w:ascii="黑体" w:eastAsia="黑体" w:hAnsi="黑体"/>
          <w:sz w:val="32"/>
          <w:szCs w:val="32"/>
        </w:rPr>
      </w:pPr>
      <w:r>
        <w:rPr>
          <w:rFonts w:ascii="黑体" w:eastAsia="黑体" w:hAnsi="黑体" w:hint="eastAsia"/>
          <w:sz w:val="32"/>
          <w:szCs w:val="32"/>
        </w:rPr>
        <w:lastRenderedPageBreak/>
        <w:t>三、关于</w:t>
      </w:r>
      <w:r>
        <w:rPr>
          <w:rFonts w:ascii="黑体" w:eastAsia="黑体" w:hAnsi="黑体"/>
          <w:sz w:val="32"/>
          <w:szCs w:val="32"/>
        </w:rPr>
        <w:t>2021</w:t>
      </w:r>
      <w:r>
        <w:rPr>
          <w:rFonts w:ascii="黑体" w:eastAsia="黑体" w:hAnsi="黑体" w:hint="eastAsia"/>
          <w:sz w:val="32"/>
          <w:szCs w:val="32"/>
        </w:rPr>
        <w:t>年部门支出总体情况的说明</w:t>
      </w:r>
    </w:p>
    <w:p w:rsidR="000C0DC4" w:rsidRDefault="00A116D6">
      <w:pPr>
        <w:spacing w:line="600" w:lineRule="exact"/>
        <w:ind w:firstLine="629"/>
        <w:jc w:val="left"/>
        <w:rPr>
          <w:rFonts w:ascii="仿宋_GB2312" w:eastAsia="仿宋_GB2312"/>
          <w:sz w:val="32"/>
          <w:szCs w:val="32"/>
        </w:rPr>
      </w:pPr>
      <w:r>
        <w:rPr>
          <w:rFonts w:ascii="仿宋_GB2312" w:eastAsia="仿宋_GB2312" w:hint="eastAsia"/>
          <w:sz w:val="32"/>
          <w:szCs w:val="32"/>
        </w:rPr>
        <w:t>福建省气象局2021年支出总预算99830.19万元，其中：基本支出50413.23万元，占50.50</w:t>
      </w:r>
      <w:r>
        <w:rPr>
          <w:rFonts w:ascii="仿宋_GB2312" w:eastAsia="仿宋_GB2312"/>
          <w:sz w:val="32"/>
          <w:szCs w:val="32"/>
        </w:rPr>
        <w:t>%</w:t>
      </w:r>
      <w:r>
        <w:rPr>
          <w:rFonts w:ascii="仿宋_GB2312" w:eastAsia="仿宋_GB2312" w:hint="eastAsia"/>
          <w:sz w:val="32"/>
          <w:szCs w:val="32"/>
        </w:rPr>
        <w:t>；项目支出49416.96万元，占49.50</w:t>
      </w:r>
      <w:r>
        <w:rPr>
          <w:rFonts w:ascii="仿宋_GB2312" w:eastAsia="仿宋_GB2312"/>
          <w:sz w:val="32"/>
          <w:szCs w:val="32"/>
        </w:rPr>
        <w:t>%</w:t>
      </w:r>
      <w:r>
        <w:rPr>
          <w:rFonts w:ascii="仿宋_GB2312" w:eastAsia="仿宋_GB2312" w:hint="eastAsia"/>
          <w:sz w:val="32"/>
          <w:szCs w:val="32"/>
        </w:rPr>
        <w:t>。</w:t>
      </w:r>
    </w:p>
    <w:p w:rsidR="000C0DC4" w:rsidRDefault="00A116D6">
      <w:pPr>
        <w:spacing w:line="600" w:lineRule="exact"/>
        <w:jc w:val="center"/>
        <w:rPr>
          <w:rFonts w:ascii="仿宋_GB2312" w:eastAsia="仿宋_GB2312"/>
          <w:b/>
          <w:sz w:val="32"/>
          <w:szCs w:val="32"/>
        </w:rPr>
      </w:pPr>
      <w:r>
        <w:rPr>
          <w:rFonts w:ascii="仿宋_GB2312" w:eastAsia="仿宋_GB2312" w:hint="eastAsia"/>
          <w:b/>
          <w:sz w:val="32"/>
          <w:szCs w:val="32"/>
        </w:rPr>
        <w:t>2021年部门支出结构图</w:t>
      </w:r>
    </w:p>
    <w:p w:rsidR="00DE4833" w:rsidRPr="00DE4833" w:rsidRDefault="00DE4833">
      <w:pPr>
        <w:spacing w:line="600" w:lineRule="exact"/>
        <w:jc w:val="center"/>
        <w:rPr>
          <w:rFonts w:ascii="仿宋_GB2312" w:eastAsia="仿宋_GB2312"/>
          <w:sz w:val="24"/>
        </w:rPr>
      </w:pPr>
      <w:r>
        <w:rPr>
          <w:rFonts w:ascii="仿宋_GB2312" w:eastAsia="仿宋_GB2312" w:hint="eastAsia"/>
          <w:b/>
          <w:sz w:val="32"/>
          <w:szCs w:val="32"/>
        </w:rPr>
        <w:t xml:space="preserve">                         </w:t>
      </w:r>
      <w:r w:rsidRPr="00DE4833">
        <w:rPr>
          <w:rFonts w:ascii="仿宋_GB2312" w:eastAsia="仿宋_GB2312" w:hint="eastAsia"/>
          <w:sz w:val="24"/>
        </w:rPr>
        <w:t>单位：万元</w:t>
      </w:r>
    </w:p>
    <w:p w:rsidR="000C0DC4" w:rsidRDefault="00A116D6">
      <w:pPr>
        <w:spacing w:line="6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noProof/>
        </w:rPr>
        <w:drawing>
          <wp:anchor distT="0" distB="0" distL="114300" distR="114300" simplePos="0" relativeHeight="251672576" behindDoc="0" locked="0" layoutInCell="1" allowOverlap="1">
            <wp:simplePos x="0" y="0"/>
            <wp:positionH relativeFrom="column">
              <wp:posOffset>678180</wp:posOffset>
            </wp:positionH>
            <wp:positionV relativeFrom="paragraph">
              <wp:posOffset>237490</wp:posOffset>
            </wp:positionV>
            <wp:extent cx="4578350" cy="2322195"/>
            <wp:effectExtent l="0" t="0" r="8890" b="9525"/>
            <wp:wrapTopAndBottom/>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20"/>
                    <a:stretch>
                      <a:fillRect/>
                    </a:stretch>
                  </pic:blipFill>
                  <pic:spPr>
                    <a:xfrm>
                      <a:off x="0" y="0"/>
                      <a:ext cx="4578350" cy="2322195"/>
                    </a:xfrm>
                    <a:prstGeom prst="rect">
                      <a:avLst/>
                    </a:prstGeom>
                    <a:noFill/>
                    <a:ln w="9525">
                      <a:noFill/>
                    </a:ln>
                  </pic:spPr>
                </pic:pic>
              </a:graphicData>
            </a:graphic>
          </wp:anchor>
        </w:drawing>
      </w:r>
    </w:p>
    <w:p w:rsidR="000C0DC4" w:rsidRDefault="000C0DC4">
      <w:pPr>
        <w:spacing w:line="600" w:lineRule="exact"/>
        <w:jc w:val="center"/>
        <w:rPr>
          <w:rFonts w:asciiTheme="minorEastAsia" w:eastAsiaTheme="minorEastAsia" w:hAnsiTheme="minorEastAsia"/>
          <w:szCs w:val="21"/>
        </w:rPr>
      </w:pPr>
    </w:p>
    <w:p w:rsidR="000C0DC4" w:rsidRDefault="00A116D6">
      <w:pPr>
        <w:ind w:firstLineChars="100" w:firstLine="320"/>
        <w:jc w:val="center"/>
        <w:rPr>
          <w:rFonts w:ascii="黑体" w:eastAsia="黑体" w:hAnsi="黑体"/>
          <w:sz w:val="32"/>
          <w:szCs w:val="32"/>
        </w:rPr>
      </w:pPr>
      <w:r>
        <w:rPr>
          <w:rFonts w:ascii="黑体" w:eastAsia="黑体" w:hAnsi="黑体" w:hint="eastAsia"/>
          <w:sz w:val="32"/>
          <w:szCs w:val="32"/>
        </w:rPr>
        <w:t>四、关于</w:t>
      </w:r>
      <w:r>
        <w:rPr>
          <w:rFonts w:ascii="黑体" w:eastAsia="黑体" w:hAnsi="黑体"/>
          <w:sz w:val="32"/>
          <w:szCs w:val="32"/>
        </w:rPr>
        <w:t>2021</w:t>
      </w:r>
      <w:r>
        <w:rPr>
          <w:rFonts w:ascii="黑体" w:eastAsia="黑体" w:hAnsi="黑体" w:hint="eastAsia"/>
          <w:sz w:val="32"/>
          <w:szCs w:val="32"/>
        </w:rPr>
        <w:t>年财政拨款收支预算情况的总体说明</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福建省气象局2021年财政拨款收入总计22725.53万元，其中：“一般公共预算拨款”22442.07万元，占98.75</w:t>
      </w:r>
      <w:r>
        <w:rPr>
          <w:rFonts w:ascii="仿宋_GB2312" w:eastAsia="仿宋_GB2312"/>
          <w:sz w:val="32"/>
          <w:szCs w:val="32"/>
        </w:rPr>
        <w:t>%</w:t>
      </w:r>
      <w:r>
        <w:rPr>
          <w:rFonts w:ascii="仿宋_GB2312" w:eastAsia="仿宋_GB2312" w:hint="eastAsia"/>
          <w:sz w:val="32"/>
          <w:szCs w:val="32"/>
        </w:rPr>
        <w:t>；“上年结转”283.46万元，占1.25</w:t>
      </w:r>
      <w:r>
        <w:rPr>
          <w:rFonts w:ascii="仿宋_GB2312" w:eastAsia="仿宋_GB2312"/>
          <w:sz w:val="32"/>
          <w:szCs w:val="32"/>
        </w:rPr>
        <w:t>%</w:t>
      </w:r>
      <w:r>
        <w:rPr>
          <w:rFonts w:ascii="仿宋_GB2312" w:eastAsia="仿宋_GB2312" w:hint="eastAsia"/>
          <w:sz w:val="32"/>
          <w:szCs w:val="32"/>
        </w:rPr>
        <w:t>。</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福建省气象局2021年财政拨款支出总计22725.53万元，其中：“社会保障和就业支出”4393.22万元，占19.33</w:t>
      </w:r>
      <w:r>
        <w:rPr>
          <w:rFonts w:ascii="仿宋_GB2312" w:eastAsia="仿宋_GB2312"/>
          <w:sz w:val="32"/>
          <w:szCs w:val="32"/>
        </w:rPr>
        <w:t>%</w:t>
      </w:r>
      <w:r>
        <w:rPr>
          <w:rFonts w:ascii="仿宋_GB2312" w:eastAsia="仿宋_GB2312" w:hint="eastAsia"/>
          <w:sz w:val="32"/>
          <w:szCs w:val="32"/>
        </w:rPr>
        <w:t xml:space="preserve"> ；“卫生健康支出”516.49万元，占2.27</w:t>
      </w:r>
      <w:r>
        <w:rPr>
          <w:rFonts w:ascii="仿宋_GB2312" w:eastAsia="仿宋_GB2312"/>
          <w:sz w:val="32"/>
          <w:szCs w:val="32"/>
        </w:rPr>
        <w:t>%</w:t>
      </w:r>
      <w:r>
        <w:rPr>
          <w:rFonts w:ascii="仿宋_GB2312" w:eastAsia="仿宋_GB2312" w:hint="eastAsia"/>
          <w:sz w:val="32"/>
          <w:szCs w:val="32"/>
        </w:rPr>
        <w:t>；“自然资源海洋气象等支出”</w:t>
      </w:r>
      <w:r>
        <w:t xml:space="preserve"> </w:t>
      </w:r>
      <w:r>
        <w:rPr>
          <w:rFonts w:ascii="仿宋_GB2312" w:eastAsia="仿宋_GB2312" w:hint="eastAsia"/>
          <w:sz w:val="32"/>
          <w:szCs w:val="32"/>
        </w:rPr>
        <w:t>16185.55万元，占71.22</w:t>
      </w:r>
      <w:r>
        <w:rPr>
          <w:rFonts w:ascii="仿宋_GB2312" w:eastAsia="仿宋_GB2312"/>
          <w:sz w:val="32"/>
          <w:szCs w:val="32"/>
        </w:rPr>
        <w:t>%</w:t>
      </w:r>
      <w:r>
        <w:rPr>
          <w:rFonts w:ascii="仿宋_GB2312" w:eastAsia="仿宋_GB2312" w:hint="eastAsia"/>
          <w:sz w:val="32"/>
          <w:szCs w:val="32"/>
        </w:rPr>
        <w:t>；“住房保障支出”1630.27万元，占</w:t>
      </w:r>
      <w:r>
        <w:rPr>
          <w:rFonts w:ascii="仿宋_GB2312" w:eastAsia="仿宋_GB2312" w:hint="eastAsia"/>
          <w:sz w:val="32"/>
          <w:szCs w:val="32"/>
        </w:rPr>
        <w:lastRenderedPageBreak/>
        <w:t>7.18</w:t>
      </w:r>
      <w:r>
        <w:rPr>
          <w:rFonts w:ascii="仿宋_GB2312" w:eastAsia="仿宋_GB2312"/>
          <w:sz w:val="32"/>
          <w:szCs w:val="32"/>
        </w:rPr>
        <w:t>%</w:t>
      </w:r>
      <w:r>
        <w:rPr>
          <w:rFonts w:ascii="仿宋_GB2312" w:eastAsia="仿宋_GB2312" w:hint="eastAsia"/>
          <w:sz w:val="32"/>
          <w:szCs w:val="32"/>
        </w:rPr>
        <w:t>。</w:t>
      </w:r>
    </w:p>
    <w:p w:rsidR="000C0DC4" w:rsidRDefault="000C0DC4">
      <w:pPr>
        <w:spacing w:line="600" w:lineRule="exact"/>
        <w:jc w:val="center"/>
        <w:rPr>
          <w:rFonts w:ascii="仿宋_GB2312" w:eastAsia="仿宋_GB2312"/>
          <w:b/>
          <w:sz w:val="32"/>
          <w:szCs w:val="32"/>
        </w:rPr>
      </w:pPr>
    </w:p>
    <w:p w:rsidR="000C0DC4" w:rsidRDefault="00A116D6">
      <w:pPr>
        <w:spacing w:line="600" w:lineRule="exact"/>
        <w:jc w:val="center"/>
        <w:rPr>
          <w:rFonts w:ascii="仿宋_GB2312" w:eastAsia="仿宋_GB2312"/>
          <w:b/>
          <w:sz w:val="32"/>
          <w:szCs w:val="32"/>
        </w:rPr>
      </w:pPr>
      <w:r>
        <w:rPr>
          <w:rFonts w:ascii="仿宋_GB2312" w:eastAsia="仿宋_GB2312" w:hint="eastAsia"/>
          <w:b/>
          <w:sz w:val="32"/>
          <w:szCs w:val="32"/>
        </w:rPr>
        <w:t>2021年财政拨款支出预算结构图</w:t>
      </w:r>
    </w:p>
    <w:p w:rsidR="000C0DC4" w:rsidRDefault="00A116D6">
      <w:pPr>
        <w:spacing w:line="6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单位</w:t>
      </w:r>
      <w:r>
        <w:rPr>
          <w:rFonts w:asciiTheme="minorEastAsia" w:eastAsiaTheme="minorEastAsia" w:hAnsiTheme="minorEastAsia"/>
          <w:szCs w:val="21"/>
        </w:rPr>
        <w:t>：万元</w:t>
      </w:r>
    </w:p>
    <w:p w:rsidR="000C0DC4" w:rsidRDefault="00A116D6">
      <w:pPr>
        <w:jc w:val="center"/>
        <w:rPr>
          <w:rFonts w:ascii="黑体" w:eastAsia="黑体" w:hAnsi="黑体"/>
          <w:sz w:val="32"/>
          <w:szCs w:val="32"/>
        </w:rPr>
      </w:pPr>
      <w:r>
        <w:rPr>
          <w:noProof/>
        </w:rPr>
        <w:drawing>
          <wp:inline distT="0" distB="0" distL="114300" distR="114300">
            <wp:extent cx="4725035" cy="2755900"/>
            <wp:effectExtent l="0" t="0" r="14605" b="254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21"/>
                    <a:stretch>
                      <a:fillRect/>
                    </a:stretch>
                  </pic:blipFill>
                  <pic:spPr>
                    <a:xfrm>
                      <a:off x="0" y="0"/>
                      <a:ext cx="4725035" cy="2755900"/>
                    </a:xfrm>
                    <a:prstGeom prst="rect">
                      <a:avLst/>
                    </a:prstGeom>
                    <a:noFill/>
                    <a:ln w="9525">
                      <a:noFill/>
                    </a:ln>
                  </pic:spPr>
                </pic:pic>
              </a:graphicData>
            </a:graphic>
          </wp:inline>
        </w:drawing>
      </w:r>
    </w:p>
    <w:p w:rsidR="000C0DC4" w:rsidRDefault="000C0DC4">
      <w:pPr>
        <w:jc w:val="center"/>
        <w:rPr>
          <w:rFonts w:ascii="黑体" w:eastAsia="黑体" w:hAnsi="黑体"/>
          <w:sz w:val="32"/>
          <w:szCs w:val="32"/>
        </w:rPr>
      </w:pPr>
    </w:p>
    <w:p w:rsidR="000C0DC4" w:rsidRDefault="00A116D6">
      <w:pPr>
        <w:jc w:val="center"/>
        <w:rPr>
          <w:rFonts w:ascii="黑体" w:eastAsia="黑体" w:hAnsi="黑体"/>
          <w:sz w:val="32"/>
          <w:szCs w:val="32"/>
        </w:rPr>
      </w:pPr>
      <w:r>
        <w:rPr>
          <w:rFonts w:ascii="黑体" w:eastAsia="黑体" w:hAnsi="黑体" w:hint="eastAsia"/>
          <w:sz w:val="32"/>
          <w:szCs w:val="32"/>
        </w:rPr>
        <w:t>五、关于</w:t>
      </w:r>
      <w:r>
        <w:rPr>
          <w:rFonts w:ascii="黑体" w:eastAsia="黑体" w:hAnsi="黑体"/>
          <w:sz w:val="32"/>
          <w:szCs w:val="32"/>
        </w:rPr>
        <w:t>2021</w:t>
      </w:r>
      <w:r>
        <w:rPr>
          <w:rFonts w:ascii="黑体" w:eastAsia="黑体" w:hAnsi="黑体" w:hint="eastAsia"/>
          <w:sz w:val="32"/>
          <w:szCs w:val="32"/>
        </w:rPr>
        <w:t>年一般公共预算当年财政拨款情况说明</w:t>
      </w:r>
    </w:p>
    <w:p w:rsidR="000C0DC4" w:rsidRDefault="00A116D6">
      <w:pPr>
        <w:ind w:firstLineChars="200" w:firstLine="640"/>
        <w:rPr>
          <w:rFonts w:ascii="仿宋_GB2312" w:eastAsia="仿宋_GB2312"/>
          <w:sz w:val="32"/>
          <w:szCs w:val="32"/>
        </w:rPr>
      </w:pPr>
      <w:r>
        <w:rPr>
          <w:rFonts w:ascii="仿宋_GB2312" w:eastAsia="仿宋_GB2312" w:hint="eastAsia"/>
          <w:sz w:val="32"/>
          <w:szCs w:val="32"/>
        </w:rPr>
        <w:t>福建省气象局2021年财政拨款预算数22442.07万元，其中：“社会保障和就业”类支出4309.76万元，占19.21</w:t>
      </w:r>
      <w:r>
        <w:rPr>
          <w:rFonts w:ascii="仿宋_GB2312" w:eastAsia="仿宋_GB2312"/>
          <w:sz w:val="32"/>
          <w:szCs w:val="32"/>
        </w:rPr>
        <w:t>%</w:t>
      </w:r>
      <w:r>
        <w:rPr>
          <w:rFonts w:ascii="仿宋_GB2312" w:eastAsia="仿宋_GB2312" w:hint="eastAsia"/>
          <w:sz w:val="32"/>
          <w:szCs w:val="32"/>
        </w:rPr>
        <w:t>；“卫生健康”类支出516.49万元，占2.30</w:t>
      </w:r>
      <w:r>
        <w:rPr>
          <w:rFonts w:ascii="仿宋_GB2312" w:eastAsia="仿宋_GB2312"/>
          <w:sz w:val="32"/>
          <w:szCs w:val="32"/>
        </w:rPr>
        <w:t>%</w:t>
      </w:r>
      <w:r>
        <w:rPr>
          <w:rFonts w:ascii="仿宋_GB2312" w:eastAsia="仿宋_GB2312" w:hint="eastAsia"/>
          <w:sz w:val="32"/>
          <w:szCs w:val="32"/>
        </w:rPr>
        <w:t>；“自然资源海洋气象等”类支出15985.55万元，占</w:t>
      </w:r>
      <w:r>
        <w:rPr>
          <w:rFonts w:ascii="仿宋_GB2312" w:eastAsia="仿宋_GB2312"/>
          <w:sz w:val="32"/>
          <w:szCs w:val="32"/>
        </w:rPr>
        <w:t>7</w:t>
      </w:r>
      <w:r>
        <w:rPr>
          <w:rFonts w:ascii="仿宋_GB2312" w:eastAsia="仿宋_GB2312" w:hint="eastAsia"/>
          <w:sz w:val="32"/>
          <w:szCs w:val="32"/>
        </w:rPr>
        <w:t>1</w:t>
      </w:r>
      <w:r>
        <w:rPr>
          <w:rFonts w:ascii="仿宋_GB2312" w:eastAsia="仿宋_GB2312"/>
          <w:sz w:val="32"/>
          <w:szCs w:val="32"/>
        </w:rPr>
        <w:t>.23%</w:t>
      </w:r>
      <w:r>
        <w:rPr>
          <w:rFonts w:ascii="仿宋_GB2312" w:eastAsia="仿宋_GB2312" w:hint="eastAsia"/>
          <w:sz w:val="32"/>
          <w:szCs w:val="32"/>
        </w:rPr>
        <w:t>；“住房保障”类支出1630.27万元，占7.26</w:t>
      </w:r>
      <w:r>
        <w:rPr>
          <w:rFonts w:ascii="仿宋_GB2312" w:eastAsia="仿宋_GB2312"/>
          <w:sz w:val="32"/>
          <w:szCs w:val="32"/>
        </w:rPr>
        <w:t>%</w:t>
      </w:r>
      <w:r>
        <w:rPr>
          <w:rFonts w:ascii="仿宋_GB2312" w:eastAsia="仿宋_GB2312" w:hint="eastAsia"/>
          <w:sz w:val="32"/>
          <w:szCs w:val="32"/>
        </w:rPr>
        <w:t>。</w:t>
      </w:r>
    </w:p>
    <w:p w:rsidR="000C0DC4" w:rsidRDefault="00DE4833">
      <w:pPr>
        <w:spacing w:line="600" w:lineRule="exact"/>
        <w:ind w:firstLine="629"/>
        <w:rPr>
          <w:rFonts w:ascii="仿宋_GB2312" w:eastAsia="仿宋_GB2312"/>
          <w:sz w:val="32"/>
          <w:szCs w:val="32"/>
        </w:rPr>
      </w:pPr>
      <w:r>
        <w:rPr>
          <w:rFonts w:ascii="仿宋_GB2312" w:eastAsia="仿宋_GB2312" w:hint="eastAsia"/>
          <w:sz w:val="32"/>
          <w:szCs w:val="32"/>
        </w:rPr>
        <w:t>福建省气象局</w:t>
      </w:r>
      <w:r w:rsidR="00E3499F">
        <w:rPr>
          <w:rFonts w:ascii="仿宋_GB2312" w:eastAsia="仿宋_GB2312" w:hint="eastAsia"/>
          <w:sz w:val="32"/>
          <w:szCs w:val="32"/>
        </w:rPr>
        <w:t>2</w:t>
      </w:r>
      <w:r w:rsidR="00A116D6">
        <w:rPr>
          <w:rFonts w:ascii="仿宋_GB2312" w:eastAsia="仿宋_GB2312"/>
          <w:sz w:val="32"/>
          <w:szCs w:val="32"/>
        </w:rPr>
        <w:t>020年财政拨款预算数</w:t>
      </w:r>
      <w:r w:rsidR="00A116D6">
        <w:rPr>
          <w:rFonts w:ascii="仿宋_GB2312" w:eastAsia="仿宋_GB2312" w:hint="eastAsia"/>
          <w:sz w:val="32"/>
          <w:szCs w:val="32"/>
        </w:rPr>
        <w:t>26745.25</w:t>
      </w:r>
      <w:r w:rsidR="00A116D6">
        <w:rPr>
          <w:rFonts w:ascii="仿宋_GB2312" w:eastAsia="仿宋_GB2312"/>
          <w:sz w:val="32"/>
          <w:szCs w:val="32"/>
        </w:rPr>
        <w:t>万元</w:t>
      </w:r>
      <w:r w:rsidR="00A116D6">
        <w:rPr>
          <w:rFonts w:ascii="仿宋_GB2312" w:eastAsia="仿宋_GB2312" w:hint="eastAsia"/>
          <w:sz w:val="32"/>
          <w:szCs w:val="32"/>
        </w:rPr>
        <w:t>，2</w:t>
      </w:r>
      <w:r w:rsidR="00A116D6">
        <w:rPr>
          <w:rFonts w:ascii="仿宋_GB2312" w:eastAsia="仿宋_GB2312"/>
          <w:sz w:val="32"/>
          <w:szCs w:val="32"/>
        </w:rPr>
        <w:t>021年比2020年</w:t>
      </w:r>
      <w:r w:rsidR="00A116D6">
        <w:rPr>
          <w:rFonts w:ascii="仿宋_GB2312" w:eastAsia="仿宋_GB2312" w:hint="eastAsia"/>
          <w:sz w:val="32"/>
          <w:szCs w:val="32"/>
        </w:rPr>
        <w:t>减少4303.18万元，降低16.09%。主要原因是基础设施建设项目减少2571.20万元、按照中央单位参加养老保险改革有关政策，退休费支出减少1520.11万元。</w:t>
      </w:r>
    </w:p>
    <w:p w:rsidR="000C0DC4" w:rsidRDefault="00A116D6">
      <w:pPr>
        <w:ind w:firstLineChars="200" w:firstLine="640"/>
        <w:rPr>
          <w:rFonts w:ascii="仿宋_GB2312" w:eastAsia="仿宋_GB2312"/>
          <w:sz w:val="32"/>
          <w:szCs w:val="32"/>
        </w:rPr>
      </w:pPr>
      <w:r>
        <w:rPr>
          <w:rFonts w:ascii="宋体" w:eastAsia="仿宋_GB2312" w:hAnsi="宋体" w:hint="eastAsia"/>
          <w:snapToGrid w:val="0"/>
          <w:kern w:val="0"/>
          <w:sz w:val="32"/>
          <w:szCs w:val="32"/>
        </w:rPr>
        <w:lastRenderedPageBreak/>
        <w:t>按照党中央、国务院关于过紧日子的有关要求，厉行节约办一切事业，大力压减一般性支出，重点压减了公用经费和预报预测业务经费项目、公共气象服务经费项目、基础设施维修费项目等项目支出中涉及的非急需非刚性支出，同时合理保障了综合观测业务、信息传输与处理等支出需求。</w:t>
      </w:r>
    </w:p>
    <w:p w:rsidR="000C0DC4" w:rsidRDefault="00A116D6">
      <w:pPr>
        <w:ind w:firstLineChars="200" w:firstLine="640"/>
        <w:rPr>
          <w:rFonts w:ascii="黑体" w:eastAsia="黑体" w:hAnsi="黑体"/>
          <w:sz w:val="32"/>
          <w:szCs w:val="32"/>
        </w:rPr>
      </w:pPr>
      <w:r>
        <w:rPr>
          <w:rFonts w:ascii="黑体" w:eastAsia="黑体" w:hAnsi="黑体" w:hint="eastAsia"/>
          <w:sz w:val="32"/>
          <w:szCs w:val="32"/>
        </w:rPr>
        <w:t>六、关于</w:t>
      </w:r>
      <w:r>
        <w:rPr>
          <w:rFonts w:ascii="黑体" w:eastAsia="黑体" w:hAnsi="黑体"/>
          <w:sz w:val="32"/>
          <w:szCs w:val="32"/>
        </w:rPr>
        <w:t>2021</w:t>
      </w:r>
      <w:r>
        <w:rPr>
          <w:rFonts w:ascii="黑体" w:eastAsia="黑体" w:hAnsi="黑体" w:hint="eastAsia"/>
          <w:sz w:val="32"/>
          <w:szCs w:val="32"/>
        </w:rPr>
        <w:t>年一般公共预算基本支出情况说明</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福建省气象局2021年一般公共预算基本支出预算数20009.42万元，其中：人员经费17843.79万元，占89.18</w:t>
      </w:r>
      <w:r>
        <w:rPr>
          <w:rFonts w:ascii="仿宋_GB2312" w:eastAsia="仿宋_GB2312"/>
          <w:sz w:val="32"/>
          <w:szCs w:val="32"/>
        </w:rPr>
        <w:t>%</w:t>
      </w:r>
      <w:r>
        <w:rPr>
          <w:rFonts w:ascii="仿宋_GB2312" w:eastAsia="仿宋_GB2312" w:hint="eastAsia"/>
          <w:sz w:val="32"/>
          <w:szCs w:val="32"/>
        </w:rPr>
        <w:t>；公用经费2165.63万元，占10.82</w:t>
      </w:r>
      <w:r>
        <w:rPr>
          <w:rFonts w:ascii="仿宋_GB2312" w:eastAsia="仿宋_GB2312"/>
          <w:sz w:val="32"/>
          <w:szCs w:val="32"/>
        </w:rPr>
        <w:t>%</w:t>
      </w:r>
      <w:r>
        <w:rPr>
          <w:rFonts w:ascii="仿宋_GB2312" w:eastAsia="仿宋_GB2312" w:hint="eastAsia"/>
          <w:sz w:val="32"/>
          <w:szCs w:val="32"/>
        </w:rPr>
        <w:t>。</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具体如下：</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1.人员经费预算数为17843.79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其他对个人和家庭的补助支出；</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2.公用经费预算数为2165.63万元，主要包括：办公费、印刷费、咨询费、手续费、水费、电费、邮电费、物业管理费、差旅费、维修（护）费、租赁费、会议费、培训费、公务接待费、劳务费、委托业务费、工会经费、福利费、公务用车运行维护费、其他交通费、其他商品和服务支出，以及办公设备购置、信息网络及软件购置更新、无形资产购置、其他资本性支出等。</w:t>
      </w:r>
    </w:p>
    <w:p w:rsidR="000C0DC4" w:rsidRDefault="000C0DC4">
      <w:pPr>
        <w:spacing w:line="600" w:lineRule="exact"/>
        <w:ind w:firstLine="629"/>
        <w:rPr>
          <w:rFonts w:ascii="仿宋_GB2312" w:eastAsia="仿宋_GB2312"/>
          <w:sz w:val="32"/>
          <w:szCs w:val="32"/>
        </w:rPr>
      </w:pPr>
    </w:p>
    <w:p w:rsidR="000C0DC4" w:rsidRDefault="00A116D6">
      <w:pPr>
        <w:rPr>
          <w:rFonts w:ascii="黑体" w:eastAsia="黑体" w:hAnsi="黑体"/>
          <w:sz w:val="32"/>
          <w:szCs w:val="32"/>
        </w:rPr>
      </w:pPr>
      <w:r>
        <w:rPr>
          <w:rFonts w:ascii="黑体" w:eastAsia="黑体" w:hAnsi="黑体"/>
          <w:sz w:val="36"/>
          <w:szCs w:val="36"/>
        </w:rPr>
        <w:lastRenderedPageBreak/>
        <w:t xml:space="preserve">    </w:t>
      </w:r>
      <w:r>
        <w:rPr>
          <w:rFonts w:ascii="黑体" w:eastAsia="黑体" w:hAnsi="黑体" w:hint="eastAsia"/>
          <w:sz w:val="32"/>
          <w:szCs w:val="32"/>
        </w:rPr>
        <w:t>七、关于</w:t>
      </w:r>
      <w:r>
        <w:rPr>
          <w:rFonts w:ascii="黑体" w:eastAsia="黑体" w:hAnsi="黑体"/>
          <w:sz w:val="32"/>
          <w:szCs w:val="32"/>
        </w:rPr>
        <w:t>2021</w:t>
      </w:r>
      <w:r>
        <w:rPr>
          <w:rFonts w:ascii="黑体" w:eastAsia="黑体" w:hAnsi="黑体" w:hint="eastAsia"/>
          <w:sz w:val="32"/>
          <w:szCs w:val="32"/>
        </w:rPr>
        <w:t>年“三公”经费预算情况说明</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福建省气象局“三公”经费2021年预算数214.27万元，其中：因公出国（境）费0.00万元，公务用车购置及运行费205.25万元，公务接待费9.02万元。</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2021年“三公”经费预算数比</w:t>
      </w:r>
      <w:r>
        <w:rPr>
          <w:rFonts w:ascii="仿宋_GB2312" w:eastAsia="仿宋_GB2312"/>
          <w:sz w:val="32"/>
          <w:szCs w:val="32"/>
        </w:rPr>
        <w:t>2020</w:t>
      </w:r>
      <w:r>
        <w:rPr>
          <w:rFonts w:ascii="仿宋_GB2312" w:eastAsia="仿宋_GB2312" w:hint="eastAsia"/>
          <w:sz w:val="32"/>
          <w:szCs w:val="32"/>
        </w:rPr>
        <w:t>年减少22.46万元，压缩9.49%，主要是按照党中央、国务院关于过“紧日子”和坚持厉行节约反对浪费的要求，进一步压减</w:t>
      </w:r>
      <w:r w:rsidR="00B57975">
        <w:rPr>
          <w:rFonts w:ascii="仿宋_GB2312" w:eastAsia="仿宋_GB2312" w:hint="eastAsia"/>
          <w:sz w:val="32"/>
          <w:szCs w:val="32"/>
        </w:rPr>
        <w:t>“</w:t>
      </w:r>
      <w:r>
        <w:rPr>
          <w:rFonts w:ascii="仿宋_GB2312" w:eastAsia="仿宋_GB2312" w:hint="eastAsia"/>
          <w:sz w:val="32"/>
          <w:szCs w:val="32"/>
        </w:rPr>
        <w:t>三公</w:t>
      </w:r>
      <w:r w:rsidR="00B57975">
        <w:rPr>
          <w:rFonts w:ascii="仿宋_GB2312" w:eastAsia="仿宋_GB2312" w:hint="eastAsia"/>
          <w:sz w:val="32"/>
          <w:szCs w:val="32"/>
        </w:rPr>
        <w:t>”</w:t>
      </w:r>
      <w:r>
        <w:rPr>
          <w:rFonts w:ascii="仿宋_GB2312" w:eastAsia="仿宋_GB2312" w:hint="eastAsia"/>
          <w:sz w:val="32"/>
          <w:szCs w:val="32"/>
        </w:rPr>
        <w:t>经费相关支出。</w:t>
      </w:r>
    </w:p>
    <w:p w:rsidR="000C0DC4" w:rsidRDefault="00A116D6">
      <w:pPr>
        <w:ind w:firstLineChars="200" w:firstLine="640"/>
        <w:jc w:val="left"/>
        <w:rPr>
          <w:rFonts w:ascii="黑体" w:eastAsia="黑体" w:hAnsi="黑体"/>
          <w:sz w:val="32"/>
          <w:szCs w:val="32"/>
        </w:rPr>
      </w:pPr>
      <w:r>
        <w:rPr>
          <w:rFonts w:ascii="黑体" w:eastAsia="黑体" w:hAnsi="黑体" w:hint="eastAsia"/>
          <w:sz w:val="32"/>
          <w:szCs w:val="32"/>
        </w:rPr>
        <w:t>八、其他说明</w:t>
      </w:r>
    </w:p>
    <w:p w:rsidR="000C0DC4" w:rsidRDefault="00A116D6">
      <w:pPr>
        <w:spacing w:line="600" w:lineRule="exact"/>
        <w:ind w:firstLine="629"/>
        <w:rPr>
          <w:rFonts w:ascii="楷体" w:eastAsia="楷体" w:hAnsi="楷体"/>
          <w:b/>
          <w:sz w:val="32"/>
          <w:szCs w:val="32"/>
        </w:rPr>
      </w:pPr>
      <w:r>
        <w:rPr>
          <w:rFonts w:ascii="楷体" w:eastAsia="楷体" w:hAnsi="楷体" w:hint="eastAsia"/>
          <w:b/>
          <w:sz w:val="32"/>
          <w:szCs w:val="32"/>
        </w:rPr>
        <w:t>（一）机关运行经费情况说明</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2021年机关运行经费财政拨款预算857.21万元，比</w:t>
      </w:r>
      <w:r>
        <w:rPr>
          <w:rFonts w:ascii="仿宋_GB2312" w:eastAsia="仿宋_GB2312"/>
          <w:sz w:val="32"/>
          <w:szCs w:val="32"/>
        </w:rPr>
        <w:t>2020</w:t>
      </w:r>
      <w:r>
        <w:rPr>
          <w:rFonts w:ascii="仿宋_GB2312" w:eastAsia="仿宋_GB2312" w:hint="eastAsia"/>
          <w:sz w:val="32"/>
          <w:szCs w:val="32"/>
        </w:rPr>
        <w:t>年预算减少43.81万元，降低4.86</w:t>
      </w:r>
      <w:r>
        <w:rPr>
          <w:rFonts w:ascii="仿宋_GB2312" w:eastAsia="仿宋_GB2312"/>
          <w:sz w:val="32"/>
          <w:szCs w:val="32"/>
        </w:rPr>
        <w:t>%</w:t>
      </w:r>
      <w:r>
        <w:rPr>
          <w:rFonts w:ascii="仿宋_GB2312" w:eastAsia="仿宋_GB2312" w:hint="eastAsia"/>
          <w:sz w:val="32"/>
          <w:szCs w:val="32"/>
        </w:rPr>
        <w:t>。主要原因是：落实过紧日子要求，压减相关支出。</w:t>
      </w:r>
    </w:p>
    <w:p w:rsidR="000C0DC4" w:rsidRDefault="00A116D6">
      <w:pPr>
        <w:spacing w:line="600" w:lineRule="exact"/>
        <w:ind w:firstLine="629"/>
        <w:rPr>
          <w:rFonts w:ascii="楷体" w:eastAsia="楷体" w:hAnsi="楷体"/>
          <w:b/>
          <w:sz w:val="32"/>
          <w:szCs w:val="32"/>
        </w:rPr>
      </w:pPr>
      <w:r>
        <w:rPr>
          <w:rFonts w:ascii="楷体" w:eastAsia="楷体" w:hAnsi="楷体" w:hint="eastAsia"/>
          <w:b/>
          <w:sz w:val="32"/>
          <w:szCs w:val="32"/>
        </w:rPr>
        <w:t>（二）政府采购情况说明</w:t>
      </w:r>
    </w:p>
    <w:p w:rsidR="000C0DC4" w:rsidRDefault="00A116D6">
      <w:pPr>
        <w:ind w:firstLineChars="200" w:firstLine="640"/>
        <w:rPr>
          <w:rFonts w:ascii="仿宋_GB2312" w:eastAsia="仿宋_GB2312"/>
          <w:sz w:val="32"/>
          <w:szCs w:val="32"/>
        </w:rPr>
      </w:pPr>
      <w:r>
        <w:rPr>
          <w:rFonts w:ascii="仿宋_GB2312" w:eastAsia="仿宋_GB2312" w:hint="eastAsia"/>
          <w:sz w:val="32"/>
          <w:szCs w:val="32"/>
        </w:rPr>
        <w:t>2021年政府采购预算总额26232.93万元，其中：政府采购货物预算11236.31万元、政府采购工程预算12813.92万元、政府采购服务预算2182.70万元。</w:t>
      </w:r>
    </w:p>
    <w:p w:rsidR="000C0DC4" w:rsidRDefault="000C0DC4">
      <w:pPr>
        <w:spacing w:line="600" w:lineRule="exact"/>
        <w:ind w:firstLine="629"/>
        <w:rPr>
          <w:rFonts w:ascii="仿宋_GB2312" w:eastAsia="仿宋_GB2312"/>
          <w:sz w:val="32"/>
          <w:szCs w:val="32"/>
        </w:rPr>
      </w:pPr>
    </w:p>
    <w:p w:rsidR="000C0DC4" w:rsidRDefault="000C0DC4">
      <w:pPr>
        <w:spacing w:line="600" w:lineRule="exact"/>
        <w:ind w:firstLine="629"/>
        <w:rPr>
          <w:rFonts w:ascii="仿宋_GB2312" w:eastAsia="仿宋_GB2312"/>
          <w:sz w:val="32"/>
          <w:szCs w:val="32"/>
        </w:rPr>
      </w:pPr>
    </w:p>
    <w:p w:rsidR="000C0DC4" w:rsidRDefault="000C0DC4">
      <w:pPr>
        <w:spacing w:line="600" w:lineRule="exact"/>
        <w:ind w:firstLine="629"/>
        <w:rPr>
          <w:rFonts w:ascii="仿宋_GB2312" w:eastAsia="仿宋_GB2312"/>
          <w:sz w:val="32"/>
          <w:szCs w:val="32"/>
        </w:rPr>
      </w:pPr>
    </w:p>
    <w:p w:rsidR="000C0DC4" w:rsidRDefault="000C0DC4">
      <w:pPr>
        <w:spacing w:line="600" w:lineRule="exact"/>
        <w:ind w:firstLine="629"/>
        <w:rPr>
          <w:rFonts w:ascii="仿宋_GB2312" w:eastAsia="仿宋_GB2312"/>
          <w:sz w:val="32"/>
          <w:szCs w:val="32"/>
        </w:rPr>
      </w:pPr>
    </w:p>
    <w:p w:rsidR="000C0DC4" w:rsidRDefault="000C0DC4">
      <w:pPr>
        <w:spacing w:line="600" w:lineRule="exact"/>
        <w:ind w:firstLine="629"/>
        <w:rPr>
          <w:rFonts w:ascii="仿宋_GB2312" w:eastAsia="仿宋_GB2312"/>
          <w:sz w:val="32"/>
          <w:szCs w:val="32"/>
        </w:rPr>
      </w:pPr>
    </w:p>
    <w:p w:rsidR="000C0DC4" w:rsidRDefault="000C0DC4">
      <w:pPr>
        <w:spacing w:line="600" w:lineRule="exact"/>
        <w:ind w:firstLine="629"/>
        <w:rPr>
          <w:rFonts w:ascii="仿宋_GB2312" w:eastAsia="仿宋_GB2312"/>
          <w:sz w:val="32"/>
          <w:szCs w:val="32"/>
        </w:rPr>
      </w:pPr>
    </w:p>
    <w:p w:rsidR="000C0DC4" w:rsidRDefault="00A116D6">
      <w:pPr>
        <w:spacing w:line="8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lastRenderedPageBreak/>
        <w:t>第四部分</w:t>
      </w:r>
      <w:r>
        <w:rPr>
          <w:rFonts w:ascii="方正小标宋简体" w:eastAsia="方正小标宋简体" w:hAnsi="黑体"/>
          <w:sz w:val="36"/>
          <w:szCs w:val="36"/>
        </w:rPr>
        <w:t xml:space="preserve"> </w:t>
      </w:r>
      <w:r>
        <w:rPr>
          <w:rFonts w:ascii="方正小标宋简体" w:eastAsia="方正小标宋简体" w:hAnsi="黑体" w:hint="eastAsia"/>
          <w:sz w:val="36"/>
          <w:szCs w:val="36"/>
        </w:rPr>
        <w:t>名词解释</w:t>
      </w:r>
    </w:p>
    <w:p w:rsidR="000C0DC4" w:rsidRDefault="00A116D6">
      <w:pPr>
        <w:spacing w:line="600" w:lineRule="exact"/>
        <w:rPr>
          <w:rFonts w:ascii="黑体" w:eastAsia="黑体" w:hAnsi="黑体"/>
          <w:sz w:val="36"/>
          <w:szCs w:val="36"/>
        </w:rPr>
      </w:pPr>
      <w:r>
        <w:rPr>
          <w:rFonts w:ascii="黑体" w:eastAsia="黑体" w:hAnsi="黑体" w:hint="eastAsia"/>
          <w:sz w:val="36"/>
          <w:szCs w:val="36"/>
        </w:rPr>
        <w:t xml:space="preserve">    </w:t>
      </w:r>
    </w:p>
    <w:p w:rsidR="000C0DC4" w:rsidRDefault="00A116D6">
      <w:pPr>
        <w:spacing w:line="600" w:lineRule="exact"/>
        <w:ind w:firstLineChars="200" w:firstLine="640"/>
        <w:rPr>
          <w:rFonts w:ascii="黑体" w:eastAsia="黑体" w:hAnsi="黑体"/>
          <w:sz w:val="32"/>
          <w:szCs w:val="32"/>
        </w:rPr>
      </w:pPr>
      <w:r>
        <w:rPr>
          <w:rFonts w:ascii="黑体" w:eastAsia="黑体" w:hAnsi="黑体" w:hint="eastAsia"/>
          <w:sz w:val="32"/>
          <w:szCs w:val="32"/>
        </w:rPr>
        <w:t>一、收入科目</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1.财政拨款收入：指中央财政当年拨付的资金。 </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2.事业收入：指气象部门事业单位开展专业业务活动及辅助活动所取得的收入。 </w:t>
      </w:r>
    </w:p>
    <w:p w:rsidR="000C0DC4" w:rsidRDefault="00A116D6">
      <w:pPr>
        <w:spacing w:line="6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3.事业单位经营收入：指气象部门事业单位在专业业务活动及其辅助活动之外开展非独立核算经营活动取得的收入。 </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4.其他收入：指除上述财政拨款、事业收入、事业单位经营收入等以外的收入。主要包括按规定动用的售房收入、存款利息收入等。</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5.上年结转：指以前年度尚未完成、结转到本年仍按原规定用途继续使用的资金。 </w:t>
      </w:r>
    </w:p>
    <w:p w:rsidR="000C0DC4" w:rsidRDefault="00A116D6">
      <w:pPr>
        <w:spacing w:line="600" w:lineRule="exact"/>
        <w:ind w:firstLineChars="200" w:firstLine="640"/>
        <w:rPr>
          <w:rFonts w:ascii="黑体" w:eastAsia="黑体" w:hAnsi="黑体"/>
          <w:sz w:val="32"/>
          <w:szCs w:val="32"/>
        </w:rPr>
      </w:pPr>
      <w:r>
        <w:rPr>
          <w:rFonts w:ascii="黑体" w:eastAsia="黑体" w:hAnsi="黑体" w:hint="eastAsia"/>
          <w:sz w:val="32"/>
          <w:szCs w:val="32"/>
        </w:rPr>
        <w:t>二、支出科目</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1.科学技术(类)：主要用于气象部门非营利性科研机构的在职及离退休人员工资、日常公用经费，研究生培养经费，以及基础设施修缮及设备购置专项、公益性行业科研专项以及气象科研重大</w:t>
      </w:r>
      <w:proofErr w:type="gramStart"/>
      <w:r>
        <w:rPr>
          <w:rFonts w:ascii="仿宋_GB2312" w:eastAsia="仿宋_GB2312" w:hint="eastAsia"/>
          <w:sz w:val="32"/>
          <w:szCs w:val="32"/>
        </w:rPr>
        <w:t>专项等</w:t>
      </w:r>
      <w:proofErr w:type="gramEnd"/>
      <w:r>
        <w:rPr>
          <w:rFonts w:ascii="仿宋_GB2312" w:eastAsia="仿宋_GB2312" w:hint="eastAsia"/>
          <w:sz w:val="32"/>
          <w:szCs w:val="32"/>
        </w:rPr>
        <w:t xml:space="preserve">支出。 </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 xml:space="preserve">（1）基础研究（款）：全部为国家灾害性天气重点实验室专项支出。 </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（2）应用研究（款）：指气象部门非营利性科研机构人员工资及保障机构正常运转的公用经费，以及公益性行业科研专项和</w:t>
      </w:r>
      <w:r>
        <w:rPr>
          <w:rFonts w:ascii="仿宋_GB2312" w:eastAsia="仿宋_GB2312" w:hint="eastAsia"/>
          <w:sz w:val="32"/>
          <w:szCs w:val="32"/>
        </w:rPr>
        <w:lastRenderedPageBreak/>
        <w:t xml:space="preserve">研究生培养等项目支出。 </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 xml:space="preserve">（3）科技条件与服务（款）：指气象部门非营利性科研机构基础设施修缮及设备购置专项支出。 </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 xml:space="preserve">（4）科技重大专项（款）：指部分科研单位国家科技重大专项支出。 </w:t>
      </w:r>
    </w:p>
    <w:p w:rsidR="000C0DC4" w:rsidRDefault="00A116D6">
      <w:pPr>
        <w:spacing w:line="600" w:lineRule="exact"/>
        <w:ind w:firstLine="629"/>
        <w:rPr>
          <w:rFonts w:ascii="仿宋_GB2312" w:eastAsia="仿宋_GB2312"/>
          <w:sz w:val="32"/>
          <w:szCs w:val="32"/>
        </w:rPr>
      </w:pPr>
      <w:r>
        <w:rPr>
          <w:rFonts w:ascii="仿宋_GB2312" w:eastAsia="仿宋_GB2312" w:hint="eastAsia"/>
          <w:sz w:val="32"/>
          <w:szCs w:val="32"/>
        </w:rPr>
        <w:t xml:space="preserve">（5）其他科学技术（款）：主要为科技业务管理费支出。 </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2.社会保障和就业（类）行政事业单位养老支出（款）：指气象部门用于养老方面的支出。 </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3.</w:t>
      </w:r>
      <w:r>
        <w:rPr>
          <w:rFonts w:hint="eastAsia"/>
        </w:rPr>
        <w:t xml:space="preserve"> </w:t>
      </w:r>
      <w:r>
        <w:rPr>
          <w:rFonts w:ascii="仿宋_GB2312" w:eastAsia="仿宋_GB2312" w:hint="eastAsia"/>
          <w:sz w:val="32"/>
          <w:szCs w:val="32"/>
        </w:rPr>
        <w:t>自然资源海洋气象等（类）气象事务（款）：指用于保障各级气象机构正常运转的人员和日常公用支出，以及保障气象业务运行和完成各项专项任务的经费支出，如气象探测、气象预报、气象信息传输等项目支出。</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（1）气象事业机构：反映气象事业单位（不包括实行公务员管理的事业单位）的基本支出。</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（2）气象技术研究应用：反映气象新技术开发研究、业务转化和推广，气候及气候变化研究等方面的支出。</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（3）气象探测：反映利用各种探测手段对大气的运动、变化及空间天气状况进行观测探测等方面的支出。</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（4）气象信息传输及管理：反映利用卫星、国际国内电路、公共数据网、计算机网络、电台、电报、电话等传递气象信息，处理、存储气象信息及其管理系统，气象信息共享等方面的支出。</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（5）气象预报预测：反映加工制作天气预报预警、气候和气候变化预测评估、农业与生态气象、大气成分预测评价、雷电</w:t>
      </w:r>
      <w:r>
        <w:rPr>
          <w:rFonts w:ascii="仿宋_GB2312" w:eastAsia="仿宋_GB2312" w:hint="eastAsia"/>
          <w:sz w:val="32"/>
          <w:szCs w:val="32"/>
        </w:rPr>
        <w:lastRenderedPageBreak/>
        <w:t>以及空间天气预警、城市环境气象、海洋气象、交通气象、地质灾害、火险等级预报等气象情报方面的支出。</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（6）气象服务：反映为社会公众和政府等部门提供气象预报预测服务产品以及为国家安全、防汛抗旱、防雷、人工影响局部天气、农村建设、农牧业生产等提供气象服务方面的支出。</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（7）气象装备保障维护：反映气象技术装备保障系统的建设、改造、更新和维护等方面的支出。</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（8）气象基础设施建设与维修：反映气象部门用于供电、供水、供暖和观测场、道路、房屋、护坡、围墙等基础设施的建设、改造、更新维修等方面的支出。</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（9）气象卫星：反映经国务院批准的气象卫星专项支出。</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（10）气象法规与标准：反映用于气象法规与标准制定以及气象执法监督检查等方面的支出。</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（11）气象资金审计稽查：反映气象部门用于资金检查、内部审计、项目评审等方面的支出。</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（12）其他气象事务支出：反映除上述项目以外用于气象事务方面的支出。</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4.住房保障支出（类）住房改革支出（款）：指气象部门所属职工按照国家政策规定用于住房公积金和购房补贴（指无房和未达标住房补贴）方面的支出。</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（1）住房公积金：是按照《住房公积金管理条例》的规定，由单位及其在职职工缴存的长期住房储金。该项政策始于上世纪九十年代中期，在全国机关、企事业单位在职职工中普遍实施，</w:t>
      </w:r>
      <w:r>
        <w:rPr>
          <w:rFonts w:ascii="仿宋_GB2312" w:eastAsia="仿宋_GB2312" w:hint="eastAsia"/>
          <w:sz w:val="32"/>
          <w:szCs w:val="32"/>
        </w:rPr>
        <w:lastRenderedPageBreak/>
        <w:t>缴存比例最低不低于5%，最高不超过12%，缴存基数为职工本人上年工资，目前已实施近20年时间。行政单位缴存基数包括国家统一规定的公务员职务工资、级别工资、机关工人岗位工资和技术等级（职务）工资、年终一次性奖金、特殊岗位津贴、艰苦边远地区津贴，规范后发放的工作性补贴、生活性补贴等；事业单位缴存基数包括国家统一规定的岗位工资、薪级工资、绩效工资、艰苦边远地区津贴、特殊岗位津贴等。</w:t>
      </w:r>
    </w:p>
    <w:p w:rsidR="000C0DC4" w:rsidRDefault="00A116D6">
      <w:pPr>
        <w:spacing w:line="600" w:lineRule="exact"/>
        <w:ind w:firstLine="630"/>
        <w:rPr>
          <w:rFonts w:ascii="Arial" w:hAnsi="Arial" w:cs="Arial"/>
          <w:color w:val="000000"/>
          <w:kern w:val="0"/>
          <w:sz w:val="24"/>
        </w:rPr>
      </w:pPr>
      <w:r>
        <w:rPr>
          <w:rFonts w:ascii="仿宋_GB2312" w:eastAsia="仿宋_GB2312" w:hint="eastAsia"/>
          <w:sz w:val="32"/>
          <w:szCs w:val="32"/>
        </w:rPr>
        <w:t>（2）购房补贴：是根据《福建省人民政府关于福建省省城进一步深化城镇住房制度改革加快住房建设的实施方案和福建省省城行政事业单位住房补贴办法的批复》（闽政[1999]178号）的规定，从1998年下半年停止实物分房后，房价收入比（按当地一套建筑面积60平方米的经济适用住房的平均价格与双职工家庭年平均工资之比计算）在4倍以上，且财政、单位原有住房建设资金可转化为住房补贴的单位，可以对无房和住房面积未达到规定标准的职工实行住房补贴； 1998年12月1日后参加工作的人员除单位和个人均按统一规定的缴存比例缴存住房公积金外，所在单位再按其月工资总额的16％，每月为该职工缴存代替住房补贴的公积金，缴存到满20年止。</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10.基本支出：主要为部门保障机构正常运转、完成日常工作任务而发生的各项支出，包括人员经费，即根据国家规定的工资标准用于部门在职人员的工资福利支出与对个人和家庭的补助支出；日常公用经费，即部门购买商品和服务的支出。 </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11.项目支出：主要为部门为保障气象业务运行和完成各项</w:t>
      </w:r>
      <w:r>
        <w:rPr>
          <w:rFonts w:ascii="仿宋_GB2312" w:eastAsia="仿宋_GB2312" w:hint="eastAsia"/>
          <w:sz w:val="32"/>
          <w:szCs w:val="32"/>
        </w:rPr>
        <w:lastRenderedPageBreak/>
        <w:t xml:space="preserve">专项任务在基本支出之外发生的各项支出。 </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12.上缴上级支出：主要为实行收入上缴办法的事业单位按规定的定额或比例上缴上级单位的支出。 </w:t>
      </w:r>
    </w:p>
    <w:p w:rsidR="000C0DC4" w:rsidRDefault="00A116D6">
      <w:pPr>
        <w:spacing w:line="600" w:lineRule="exact"/>
        <w:rPr>
          <w:rFonts w:ascii="仿宋_GB2312" w:eastAsia="仿宋_GB2312"/>
          <w:sz w:val="32"/>
          <w:szCs w:val="32"/>
        </w:rPr>
      </w:pPr>
      <w:r>
        <w:rPr>
          <w:rFonts w:ascii="仿宋_GB2312" w:eastAsia="仿宋_GB2312" w:hint="eastAsia"/>
          <w:sz w:val="32"/>
          <w:szCs w:val="32"/>
        </w:rPr>
        <w:t xml:space="preserve">    13.事业单位经营支出：主要为事业单位在专业活动及辅助活动之外开展非独立核算经营活动发生的支出。 </w:t>
      </w:r>
    </w:p>
    <w:p w:rsidR="000C0DC4" w:rsidRDefault="00A116D6">
      <w:pPr>
        <w:spacing w:line="600" w:lineRule="exact"/>
        <w:ind w:firstLine="630"/>
        <w:rPr>
          <w:rFonts w:ascii="仿宋_GB2312" w:eastAsia="仿宋_GB2312"/>
          <w:sz w:val="32"/>
          <w:szCs w:val="32"/>
        </w:rPr>
      </w:pPr>
      <w:r>
        <w:rPr>
          <w:rFonts w:ascii="仿宋_GB2312" w:eastAsia="仿宋_GB2312" w:hint="eastAsia"/>
          <w:sz w:val="32"/>
          <w:szCs w:val="32"/>
        </w:rPr>
        <w:t xml:space="preserve">14.对下级单位补助支出：主要为对所属下级单位的全部补助支出。 </w:t>
      </w:r>
    </w:p>
    <w:p w:rsidR="000C0DC4" w:rsidRDefault="00A116D6">
      <w:pPr>
        <w:spacing w:line="600" w:lineRule="exact"/>
        <w:ind w:firstLineChars="200" w:firstLine="640"/>
        <w:rPr>
          <w:rFonts w:ascii="黑体" w:eastAsia="黑体" w:hAnsi="黑体"/>
          <w:sz w:val="32"/>
          <w:szCs w:val="32"/>
        </w:rPr>
      </w:pPr>
      <w:r>
        <w:rPr>
          <w:rFonts w:ascii="黑体" w:eastAsia="黑体" w:hAnsi="黑体" w:hint="eastAsia"/>
          <w:sz w:val="32"/>
          <w:szCs w:val="32"/>
        </w:rPr>
        <w:t>三、“三公”经费</w:t>
      </w:r>
    </w:p>
    <w:p w:rsidR="000C0DC4" w:rsidRDefault="00A116D6">
      <w:pPr>
        <w:spacing w:line="600" w:lineRule="exact"/>
        <w:ind w:firstLineChars="200" w:firstLine="640"/>
        <w:rPr>
          <w:rFonts w:ascii="仿宋_GB2312" w:eastAsia="仿宋_GB2312"/>
          <w:sz w:val="32"/>
          <w:szCs w:val="32"/>
        </w:rPr>
      </w:pPr>
      <w:r>
        <w:rPr>
          <w:rFonts w:ascii="仿宋_GB2312" w:eastAsia="仿宋_GB2312" w:hint="eastAsia"/>
          <w:sz w:val="32"/>
          <w:szCs w:val="32"/>
        </w:rPr>
        <w:t>纳入中央财政预决算管理的“三公”经费，是指中央部门用财政拨款安排的因公出国（境）费、公务用车购置及运行费和公务接待费。其中，因公出国（境）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0C0DC4" w:rsidRDefault="00A116D6">
      <w:pPr>
        <w:spacing w:line="600" w:lineRule="exact"/>
        <w:ind w:firstLineChars="200" w:firstLine="640"/>
        <w:rPr>
          <w:rFonts w:ascii="黑体" w:eastAsia="黑体" w:hAnsi="黑体"/>
          <w:sz w:val="32"/>
          <w:szCs w:val="32"/>
        </w:rPr>
      </w:pPr>
      <w:r>
        <w:rPr>
          <w:rFonts w:ascii="黑体" w:eastAsia="黑体" w:hAnsi="黑体" w:hint="eastAsia"/>
          <w:sz w:val="32"/>
          <w:szCs w:val="32"/>
        </w:rPr>
        <w:t>四、机关运行经费</w:t>
      </w:r>
    </w:p>
    <w:p w:rsidR="000C0DC4" w:rsidRDefault="00A116D6">
      <w:pPr>
        <w:ind w:firstLineChars="200" w:firstLine="640"/>
        <w:rPr>
          <w:rFonts w:ascii="楷体_GB2312" w:eastAsia="楷体_GB2312"/>
          <w:sz w:val="32"/>
          <w:szCs w:val="32"/>
        </w:rPr>
      </w:pPr>
      <w:r>
        <w:rPr>
          <w:rFonts w:ascii="仿宋_GB2312" w:eastAsia="仿宋_GB2312" w:hint="eastAsia"/>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物业管理费、公务用车运行维护费以及其他费用。</w:t>
      </w:r>
    </w:p>
    <w:sectPr w:rsidR="000C0DC4">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11" w:rsidRDefault="005D1911">
      <w:r>
        <w:separator/>
      </w:r>
    </w:p>
  </w:endnote>
  <w:endnote w:type="continuationSeparator" w:id="0">
    <w:p w:rsidR="005D1911" w:rsidRDefault="005D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ial">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C4" w:rsidRDefault="00A116D6">
    <w:pPr>
      <w:pStyle w:val="a4"/>
      <w:jc w:val="center"/>
    </w:pPr>
    <w:r>
      <w:fldChar w:fldCharType="begin"/>
    </w:r>
    <w:r>
      <w:instrText xml:space="preserve"> PAGE   \* MERGEFORMAT </w:instrText>
    </w:r>
    <w:r>
      <w:fldChar w:fldCharType="separate"/>
    </w:r>
    <w:r w:rsidR="00B94381" w:rsidRPr="00B94381">
      <w:rPr>
        <w:noProof/>
        <w:lang w:val="zh-CN"/>
      </w:rPr>
      <w:t>12</w:t>
    </w:r>
    <w:r>
      <w:fldChar w:fldCharType="end"/>
    </w:r>
  </w:p>
  <w:p w:rsidR="000C0DC4" w:rsidRDefault="000C0D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11" w:rsidRDefault="005D1911">
      <w:r>
        <w:separator/>
      </w:r>
    </w:p>
  </w:footnote>
  <w:footnote w:type="continuationSeparator" w:id="0">
    <w:p w:rsidR="005D1911" w:rsidRDefault="005D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C4" w:rsidRDefault="000C0DC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C4" w:rsidRDefault="000C0DC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FC"/>
    <w:rsid w:val="0000302C"/>
    <w:rsid w:val="0000311A"/>
    <w:rsid w:val="00006386"/>
    <w:rsid w:val="00011D5B"/>
    <w:rsid w:val="000125E9"/>
    <w:rsid w:val="0001752E"/>
    <w:rsid w:val="0002239D"/>
    <w:rsid w:val="00027831"/>
    <w:rsid w:val="00027EC2"/>
    <w:rsid w:val="000335B3"/>
    <w:rsid w:val="000338E1"/>
    <w:rsid w:val="00040356"/>
    <w:rsid w:val="00041243"/>
    <w:rsid w:val="000421AC"/>
    <w:rsid w:val="00042C6C"/>
    <w:rsid w:val="00043944"/>
    <w:rsid w:val="0004468A"/>
    <w:rsid w:val="00046E00"/>
    <w:rsid w:val="000544D3"/>
    <w:rsid w:val="00055488"/>
    <w:rsid w:val="00056734"/>
    <w:rsid w:val="00071388"/>
    <w:rsid w:val="00074C84"/>
    <w:rsid w:val="000779F9"/>
    <w:rsid w:val="00096B74"/>
    <w:rsid w:val="00097740"/>
    <w:rsid w:val="000A1922"/>
    <w:rsid w:val="000A238F"/>
    <w:rsid w:val="000A7072"/>
    <w:rsid w:val="000B674E"/>
    <w:rsid w:val="000C0DC4"/>
    <w:rsid w:val="000C1383"/>
    <w:rsid w:val="000C2AEE"/>
    <w:rsid w:val="000C3CD6"/>
    <w:rsid w:val="000C3D21"/>
    <w:rsid w:val="000C67D1"/>
    <w:rsid w:val="000C68D1"/>
    <w:rsid w:val="000C6E19"/>
    <w:rsid w:val="000D19A0"/>
    <w:rsid w:val="000D426A"/>
    <w:rsid w:val="000D56E4"/>
    <w:rsid w:val="000D7F3E"/>
    <w:rsid w:val="000E640D"/>
    <w:rsid w:val="000F0166"/>
    <w:rsid w:val="000F07B2"/>
    <w:rsid w:val="000F1624"/>
    <w:rsid w:val="000F1C55"/>
    <w:rsid w:val="000F2EE7"/>
    <w:rsid w:val="000F3ED8"/>
    <w:rsid w:val="000F49C9"/>
    <w:rsid w:val="000F7550"/>
    <w:rsid w:val="0010186B"/>
    <w:rsid w:val="0010254D"/>
    <w:rsid w:val="001068C5"/>
    <w:rsid w:val="00110755"/>
    <w:rsid w:val="00112F02"/>
    <w:rsid w:val="00114537"/>
    <w:rsid w:val="00115326"/>
    <w:rsid w:val="0012105A"/>
    <w:rsid w:val="00123AB8"/>
    <w:rsid w:val="00123B08"/>
    <w:rsid w:val="00123D2C"/>
    <w:rsid w:val="0012760E"/>
    <w:rsid w:val="001325D4"/>
    <w:rsid w:val="001372CE"/>
    <w:rsid w:val="00141B70"/>
    <w:rsid w:val="0014697F"/>
    <w:rsid w:val="00147AFE"/>
    <w:rsid w:val="00150E4A"/>
    <w:rsid w:val="001515F7"/>
    <w:rsid w:val="00155DE1"/>
    <w:rsid w:val="00161A7E"/>
    <w:rsid w:val="001641CC"/>
    <w:rsid w:val="0016739B"/>
    <w:rsid w:val="00172901"/>
    <w:rsid w:val="00174ED5"/>
    <w:rsid w:val="00182509"/>
    <w:rsid w:val="00183310"/>
    <w:rsid w:val="00184163"/>
    <w:rsid w:val="001911F9"/>
    <w:rsid w:val="001937C6"/>
    <w:rsid w:val="00195350"/>
    <w:rsid w:val="00196429"/>
    <w:rsid w:val="001A19E9"/>
    <w:rsid w:val="001A2E0B"/>
    <w:rsid w:val="001A2FB3"/>
    <w:rsid w:val="001A59BF"/>
    <w:rsid w:val="001A5C50"/>
    <w:rsid w:val="001B04F8"/>
    <w:rsid w:val="001B1572"/>
    <w:rsid w:val="001B29BE"/>
    <w:rsid w:val="001C4D77"/>
    <w:rsid w:val="001C6891"/>
    <w:rsid w:val="001D2F08"/>
    <w:rsid w:val="001D4390"/>
    <w:rsid w:val="001D6486"/>
    <w:rsid w:val="001E1D12"/>
    <w:rsid w:val="001E5A82"/>
    <w:rsid w:val="001E5D17"/>
    <w:rsid w:val="001E5F52"/>
    <w:rsid w:val="001F0FB4"/>
    <w:rsid w:val="001F3A54"/>
    <w:rsid w:val="00201456"/>
    <w:rsid w:val="00204383"/>
    <w:rsid w:val="002052AE"/>
    <w:rsid w:val="002110D4"/>
    <w:rsid w:val="00212248"/>
    <w:rsid w:val="002152F7"/>
    <w:rsid w:val="00232BB7"/>
    <w:rsid w:val="00233226"/>
    <w:rsid w:val="00253B28"/>
    <w:rsid w:val="00255DD7"/>
    <w:rsid w:val="00264DA7"/>
    <w:rsid w:val="00270535"/>
    <w:rsid w:val="002728AA"/>
    <w:rsid w:val="00276262"/>
    <w:rsid w:val="00276A96"/>
    <w:rsid w:val="00276E81"/>
    <w:rsid w:val="0028412B"/>
    <w:rsid w:val="00285865"/>
    <w:rsid w:val="00286B2D"/>
    <w:rsid w:val="00286C40"/>
    <w:rsid w:val="00287522"/>
    <w:rsid w:val="00291003"/>
    <w:rsid w:val="002913AA"/>
    <w:rsid w:val="00294B87"/>
    <w:rsid w:val="002963BC"/>
    <w:rsid w:val="00297281"/>
    <w:rsid w:val="002A1D2A"/>
    <w:rsid w:val="002A438A"/>
    <w:rsid w:val="002A6A76"/>
    <w:rsid w:val="002B080C"/>
    <w:rsid w:val="002C1EC5"/>
    <w:rsid w:val="002C6B59"/>
    <w:rsid w:val="002D03FC"/>
    <w:rsid w:val="002D1D49"/>
    <w:rsid w:val="002D2CA6"/>
    <w:rsid w:val="002D3264"/>
    <w:rsid w:val="002D60AB"/>
    <w:rsid w:val="002D61CA"/>
    <w:rsid w:val="002D6B75"/>
    <w:rsid w:val="002E4936"/>
    <w:rsid w:val="002E7BB3"/>
    <w:rsid w:val="002F05FA"/>
    <w:rsid w:val="002F580F"/>
    <w:rsid w:val="002F5DDB"/>
    <w:rsid w:val="002F75BA"/>
    <w:rsid w:val="00300326"/>
    <w:rsid w:val="003005A0"/>
    <w:rsid w:val="003007F7"/>
    <w:rsid w:val="00300AE2"/>
    <w:rsid w:val="003012C4"/>
    <w:rsid w:val="00315110"/>
    <w:rsid w:val="0032069C"/>
    <w:rsid w:val="00321E30"/>
    <w:rsid w:val="00323E46"/>
    <w:rsid w:val="00330595"/>
    <w:rsid w:val="003331EC"/>
    <w:rsid w:val="00337CE6"/>
    <w:rsid w:val="00340388"/>
    <w:rsid w:val="00341CD7"/>
    <w:rsid w:val="00341F5B"/>
    <w:rsid w:val="003425FC"/>
    <w:rsid w:val="003437CA"/>
    <w:rsid w:val="00343D8F"/>
    <w:rsid w:val="003476D5"/>
    <w:rsid w:val="003520DD"/>
    <w:rsid w:val="00352BB6"/>
    <w:rsid w:val="003556F2"/>
    <w:rsid w:val="00364E0F"/>
    <w:rsid w:val="00365DC1"/>
    <w:rsid w:val="00371BE2"/>
    <w:rsid w:val="003842E5"/>
    <w:rsid w:val="00387E48"/>
    <w:rsid w:val="00392794"/>
    <w:rsid w:val="003933B2"/>
    <w:rsid w:val="003A56C2"/>
    <w:rsid w:val="003B7B37"/>
    <w:rsid w:val="003C296F"/>
    <w:rsid w:val="003C65A0"/>
    <w:rsid w:val="003D114D"/>
    <w:rsid w:val="003D42B8"/>
    <w:rsid w:val="003D500A"/>
    <w:rsid w:val="003D5399"/>
    <w:rsid w:val="003D60C6"/>
    <w:rsid w:val="003E05AE"/>
    <w:rsid w:val="003E3B2D"/>
    <w:rsid w:val="003E4654"/>
    <w:rsid w:val="003E4690"/>
    <w:rsid w:val="003E66A8"/>
    <w:rsid w:val="003F08A9"/>
    <w:rsid w:val="003F0CAD"/>
    <w:rsid w:val="003F45A8"/>
    <w:rsid w:val="003F6E7C"/>
    <w:rsid w:val="003F7495"/>
    <w:rsid w:val="00404409"/>
    <w:rsid w:val="0041513C"/>
    <w:rsid w:val="00415396"/>
    <w:rsid w:val="004234A6"/>
    <w:rsid w:val="00423D0C"/>
    <w:rsid w:val="0042561F"/>
    <w:rsid w:val="00425C68"/>
    <w:rsid w:val="00427676"/>
    <w:rsid w:val="00434F72"/>
    <w:rsid w:val="004365D4"/>
    <w:rsid w:val="004430F6"/>
    <w:rsid w:val="00443177"/>
    <w:rsid w:val="00451F55"/>
    <w:rsid w:val="00452AA5"/>
    <w:rsid w:val="0046011D"/>
    <w:rsid w:val="0046395A"/>
    <w:rsid w:val="00475BDA"/>
    <w:rsid w:val="004776D7"/>
    <w:rsid w:val="00485F96"/>
    <w:rsid w:val="00486100"/>
    <w:rsid w:val="00491EB2"/>
    <w:rsid w:val="00493D12"/>
    <w:rsid w:val="00495AD1"/>
    <w:rsid w:val="004975A5"/>
    <w:rsid w:val="004A324C"/>
    <w:rsid w:val="004A4964"/>
    <w:rsid w:val="004A6824"/>
    <w:rsid w:val="004B18FC"/>
    <w:rsid w:val="004B334C"/>
    <w:rsid w:val="004B69A8"/>
    <w:rsid w:val="004E7A38"/>
    <w:rsid w:val="004F5FB2"/>
    <w:rsid w:val="005004E7"/>
    <w:rsid w:val="00500A46"/>
    <w:rsid w:val="00504408"/>
    <w:rsid w:val="005062B3"/>
    <w:rsid w:val="00510D91"/>
    <w:rsid w:val="0051323B"/>
    <w:rsid w:val="00513399"/>
    <w:rsid w:val="00515239"/>
    <w:rsid w:val="00522E4C"/>
    <w:rsid w:val="0052478A"/>
    <w:rsid w:val="005274AB"/>
    <w:rsid w:val="0053106C"/>
    <w:rsid w:val="00532D91"/>
    <w:rsid w:val="00533819"/>
    <w:rsid w:val="00535B7E"/>
    <w:rsid w:val="0054367E"/>
    <w:rsid w:val="005443C7"/>
    <w:rsid w:val="00546D4B"/>
    <w:rsid w:val="00547747"/>
    <w:rsid w:val="00547E8F"/>
    <w:rsid w:val="00550E0E"/>
    <w:rsid w:val="00555CEC"/>
    <w:rsid w:val="00562998"/>
    <w:rsid w:val="005629AB"/>
    <w:rsid w:val="00563C6F"/>
    <w:rsid w:val="0056671D"/>
    <w:rsid w:val="005722C1"/>
    <w:rsid w:val="005733D6"/>
    <w:rsid w:val="00574409"/>
    <w:rsid w:val="00574950"/>
    <w:rsid w:val="005778BB"/>
    <w:rsid w:val="00582362"/>
    <w:rsid w:val="00582D3D"/>
    <w:rsid w:val="005865B5"/>
    <w:rsid w:val="005876A8"/>
    <w:rsid w:val="005908DF"/>
    <w:rsid w:val="00591D9D"/>
    <w:rsid w:val="00592A70"/>
    <w:rsid w:val="00596A37"/>
    <w:rsid w:val="005A41FB"/>
    <w:rsid w:val="005A5C41"/>
    <w:rsid w:val="005A67CC"/>
    <w:rsid w:val="005B3127"/>
    <w:rsid w:val="005B54D8"/>
    <w:rsid w:val="005B569C"/>
    <w:rsid w:val="005B7CC3"/>
    <w:rsid w:val="005C4295"/>
    <w:rsid w:val="005C7549"/>
    <w:rsid w:val="005C7949"/>
    <w:rsid w:val="005D0F87"/>
    <w:rsid w:val="005D149E"/>
    <w:rsid w:val="005D1911"/>
    <w:rsid w:val="005D28C1"/>
    <w:rsid w:val="005D5D56"/>
    <w:rsid w:val="005E1C16"/>
    <w:rsid w:val="005E2409"/>
    <w:rsid w:val="005E37C8"/>
    <w:rsid w:val="005F3F50"/>
    <w:rsid w:val="005F704A"/>
    <w:rsid w:val="005F766F"/>
    <w:rsid w:val="00606782"/>
    <w:rsid w:val="0060742E"/>
    <w:rsid w:val="0061167D"/>
    <w:rsid w:val="00613A3E"/>
    <w:rsid w:val="0061442D"/>
    <w:rsid w:val="00614C8B"/>
    <w:rsid w:val="00616E99"/>
    <w:rsid w:val="00617980"/>
    <w:rsid w:val="00622522"/>
    <w:rsid w:val="006237D1"/>
    <w:rsid w:val="006267D0"/>
    <w:rsid w:val="006305A8"/>
    <w:rsid w:val="006307C9"/>
    <w:rsid w:val="0063111B"/>
    <w:rsid w:val="006337CF"/>
    <w:rsid w:val="00642276"/>
    <w:rsid w:val="00643D4E"/>
    <w:rsid w:val="00645828"/>
    <w:rsid w:val="0064764F"/>
    <w:rsid w:val="006476FD"/>
    <w:rsid w:val="00647F28"/>
    <w:rsid w:val="00660F7C"/>
    <w:rsid w:val="006649DA"/>
    <w:rsid w:val="00667C4F"/>
    <w:rsid w:val="00670A0E"/>
    <w:rsid w:val="00670E2F"/>
    <w:rsid w:val="006740E3"/>
    <w:rsid w:val="00674A93"/>
    <w:rsid w:val="00680DE9"/>
    <w:rsid w:val="00690817"/>
    <w:rsid w:val="006910B5"/>
    <w:rsid w:val="00695D05"/>
    <w:rsid w:val="006A1E7B"/>
    <w:rsid w:val="006A535F"/>
    <w:rsid w:val="006A72E1"/>
    <w:rsid w:val="006B364B"/>
    <w:rsid w:val="006B50A1"/>
    <w:rsid w:val="006B6D12"/>
    <w:rsid w:val="006B75D2"/>
    <w:rsid w:val="006C5E36"/>
    <w:rsid w:val="006C7B3C"/>
    <w:rsid w:val="006D03F2"/>
    <w:rsid w:val="006D24E8"/>
    <w:rsid w:val="006D4013"/>
    <w:rsid w:val="006D72BF"/>
    <w:rsid w:val="006D734B"/>
    <w:rsid w:val="006E2AAB"/>
    <w:rsid w:val="006E3412"/>
    <w:rsid w:val="006E44AD"/>
    <w:rsid w:val="006E7AFB"/>
    <w:rsid w:val="006F1E4B"/>
    <w:rsid w:val="006F2537"/>
    <w:rsid w:val="00705F05"/>
    <w:rsid w:val="00710422"/>
    <w:rsid w:val="00727D54"/>
    <w:rsid w:val="00730A63"/>
    <w:rsid w:val="00733EAD"/>
    <w:rsid w:val="00740991"/>
    <w:rsid w:val="00744F81"/>
    <w:rsid w:val="007504E5"/>
    <w:rsid w:val="00753408"/>
    <w:rsid w:val="0075773B"/>
    <w:rsid w:val="0076340D"/>
    <w:rsid w:val="00763973"/>
    <w:rsid w:val="0076405B"/>
    <w:rsid w:val="00766316"/>
    <w:rsid w:val="00766BBD"/>
    <w:rsid w:val="00771B08"/>
    <w:rsid w:val="007744B1"/>
    <w:rsid w:val="00780607"/>
    <w:rsid w:val="00782DBB"/>
    <w:rsid w:val="007874B3"/>
    <w:rsid w:val="007A281C"/>
    <w:rsid w:val="007A7231"/>
    <w:rsid w:val="007A7DB8"/>
    <w:rsid w:val="007A7EAE"/>
    <w:rsid w:val="007C358A"/>
    <w:rsid w:val="007C37FB"/>
    <w:rsid w:val="007C39E7"/>
    <w:rsid w:val="007C550A"/>
    <w:rsid w:val="007D228D"/>
    <w:rsid w:val="007D5904"/>
    <w:rsid w:val="007D6504"/>
    <w:rsid w:val="007E1CC3"/>
    <w:rsid w:val="007E5699"/>
    <w:rsid w:val="007F13E3"/>
    <w:rsid w:val="007F1884"/>
    <w:rsid w:val="007F7148"/>
    <w:rsid w:val="00800981"/>
    <w:rsid w:val="00805216"/>
    <w:rsid w:val="00821FF9"/>
    <w:rsid w:val="00822FCD"/>
    <w:rsid w:val="008236B8"/>
    <w:rsid w:val="00825A84"/>
    <w:rsid w:val="00826872"/>
    <w:rsid w:val="00830B71"/>
    <w:rsid w:val="00834471"/>
    <w:rsid w:val="00835BA7"/>
    <w:rsid w:val="00835BDA"/>
    <w:rsid w:val="0084081B"/>
    <w:rsid w:val="00850B45"/>
    <w:rsid w:val="008540D7"/>
    <w:rsid w:val="00861856"/>
    <w:rsid w:val="00863710"/>
    <w:rsid w:val="00864921"/>
    <w:rsid w:val="0086585A"/>
    <w:rsid w:val="008663A1"/>
    <w:rsid w:val="00875DFB"/>
    <w:rsid w:val="00875F87"/>
    <w:rsid w:val="00880DCB"/>
    <w:rsid w:val="00887B5F"/>
    <w:rsid w:val="008912EE"/>
    <w:rsid w:val="008975E6"/>
    <w:rsid w:val="008A1740"/>
    <w:rsid w:val="008A19A4"/>
    <w:rsid w:val="008A7B02"/>
    <w:rsid w:val="008B2CBE"/>
    <w:rsid w:val="008B5726"/>
    <w:rsid w:val="008C5F1C"/>
    <w:rsid w:val="008D09B8"/>
    <w:rsid w:val="008D0ADC"/>
    <w:rsid w:val="008D4374"/>
    <w:rsid w:val="008E080F"/>
    <w:rsid w:val="008E2786"/>
    <w:rsid w:val="008E4754"/>
    <w:rsid w:val="008F346C"/>
    <w:rsid w:val="008F4783"/>
    <w:rsid w:val="008F5171"/>
    <w:rsid w:val="008F7CD6"/>
    <w:rsid w:val="00902277"/>
    <w:rsid w:val="009022DE"/>
    <w:rsid w:val="00902B50"/>
    <w:rsid w:val="009065B0"/>
    <w:rsid w:val="009142FC"/>
    <w:rsid w:val="009153D1"/>
    <w:rsid w:val="009213CA"/>
    <w:rsid w:val="0092291D"/>
    <w:rsid w:val="00922A37"/>
    <w:rsid w:val="00922E58"/>
    <w:rsid w:val="0092610E"/>
    <w:rsid w:val="0093074B"/>
    <w:rsid w:val="0093211E"/>
    <w:rsid w:val="00941AE1"/>
    <w:rsid w:val="00941E92"/>
    <w:rsid w:val="00941FA9"/>
    <w:rsid w:val="00944AAF"/>
    <w:rsid w:val="009527F1"/>
    <w:rsid w:val="00955588"/>
    <w:rsid w:val="0095653C"/>
    <w:rsid w:val="00966964"/>
    <w:rsid w:val="00970DE3"/>
    <w:rsid w:val="0097244A"/>
    <w:rsid w:val="00972984"/>
    <w:rsid w:val="009745BA"/>
    <w:rsid w:val="00974E83"/>
    <w:rsid w:val="00977367"/>
    <w:rsid w:val="009777ED"/>
    <w:rsid w:val="00982759"/>
    <w:rsid w:val="00985B25"/>
    <w:rsid w:val="00987FC9"/>
    <w:rsid w:val="009939FF"/>
    <w:rsid w:val="00993FA1"/>
    <w:rsid w:val="009A2711"/>
    <w:rsid w:val="009A549F"/>
    <w:rsid w:val="009A6962"/>
    <w:rsid w:val="009B6617"/>
    <w:rsid w:val="009C12A6"/>
    <w:rsid w:val="009C343D"/>
    <w:rsid w:val="009C3F6C"/>
    <w:rsid w:val="009C61D5"/>
    <w:rsid w:val="009D267F"/>
    <w:rsid w:val="009D270E"/>
    <w:rsid w:val="009D3479"/>
    <w:rsid w:val="009D705B"/>
    <w:rsid w:val="009E6C57"/>
    <w:rsid w:val="009F3AEB"/>
    <w:rsid w:val="009F434E"/>
    <w:rsid w:val="009F6109"/>
    <w:rsid w:val="00A0049F"/>
    <w:rsid w:val="00A01679"/>
    <w:rsid w:val="00A062BE"/>
    <w:rsid w:val="00A078F0"/>
    <w:rsid w:val="00A11218"/>
    <w:rsid w:val="00A116D6"/>
    <w:rsid w:val="00A205A7"/>
    <w:rsid w:val="00A20BA6"/>
    <w:rsid w:val="00A229EC"/>
    <w:rsid w:val="00A24D53"/>
    <w:rsid w:val="00A260F5"/>
    <w:rsid w:val="00A270F2"/>
    <w:rsid w:val="00A31587"/>
    <w:rsid w:val="00A34C14"/>
    <w:rsid w:val="00A420B5"/>
    <w:rsid w:val="00A4300B"/>
    <w:rsid w:val="00A44052"/>
    <w:rsid w:val="00A47782"/>
    <w:rsid w:val="00A545BD"/>
    <w:rsid w:val="00A619F9"/>
    <w:rsid w:val="00A62F58"/>
    <w:rsid w:val="00A64FE4"/>
    <w:rsid w:val="00A666D6"/>
    <w:rsid w:val="00A763D9"/>
    <w:rsid w:val="00A77549"/>
    <w:rsid w:val="00A81C9C"/>
    <w:rsid w:val="00A83D34"/>
    <w:rsid w:val="00A8469E"/>
    <w:rsid w:val="00A855A1"/>
    <w:rsid w:val="00A86511"/>
    <w:rsid w:val="00A914EF"/>
    <w:rsid w:val="00A91CC3"/>
    <w:rsid w:val="00A91FF8"/>
    <w:rsid w:val="00A96087"/>
    <w:rsid w:val="00AA247B"/>
    <w:rsid w:val="00AA7F47"/>
    <w:rsid w:val="00AB13AF"/>
    <w:rsid w:val="00AB1AAF"/>
    <w:rsid w:val="00AB5284"/>
    <w:rsid w:val="00AB6723"/>
    <w:rsid w:val="00AB762B"/>
    <w:rsid w:val="00AC31A2"/>
    <w:rsid w:val="00AC34C8"/>
    <w:rsid w:val="00AC3D8E"/>
    <w:rsid w:val="00AC5EAC"/>
    <w:rsid w:val="00AC62DF"/>
    <w:rsid w:val="00AD056B"/>
    <w:rsid w:val="00AE2A41"/>
    <w:rsid w:val="00AE3877"/>
    <w:rsid w:val="00AE7BAB"/>
    <w:rsid w:val="00AE7BC7"/>
    <w:rsid w:val="00AF02E2"/>
    <w:rsid w:val="00AF316C"/>
    <w:rsid w:val="00AF401D"/>
    <w:rsid w:val="00AF5819"/>
    <w:rsid w:val="00AF793C"/>
    <w:rsid w:val="00B02BE7"/>
    <w:rsid w:val="00B13A56"/>
    <w:rsid w:val="00B140AB"/>
    <w:rsid w:val="00B152DC"/>
    <w:rsid w:val="00B16567"/>
    <w:rsid w:val="00B16BDF"/>
    <w:rsid w:val="00B21660"/>
    <w:rsid w:val="00B21990"/>
    <w:rsid w:val="00B23D9E"/>
    <w:rsid w:val="00B24ABA"/>
    <w:rsid w:val="00B25C88"/>
    <w:rsid w:val="00B261B4"/>
    <w:rsid w:val="00B3164C"/>
    <w:rsid w:val="00B37E4F"/>
    <w:rsid w:val="00B4468E"/>
    <w:rsid w:val="00B46750"/>
    <w:rsid w:val="00B51E55"/>
    <w:rsid w:val="00B54C70"/>
    <w:rsid w:val="00B56841"/>
    <w:rsid w:val="00B57975"/>
    <w:rsid w:val="00B72E0E"/>
    <w:rsid w:val="00B77799"/>
    <w:rsid w:val="00B866E8"/>
    <w:rsid w:val="00B91C66"/>
    <w:rsid w:val="00B94381"/>
    <w:rsid w:val="00B952EB"/>
    <w:rsid w:val="00B960B0"/>
    <w:rsid w:val="00BC29DC"/>
    <w:rsid w:val="00BC3AAD"/>
    <w:rsid w:val="00BC4B06"/>
    <w:rsid w:val="00BC6B40"/>
    <w:rsid w:val="00BC70D9"/>
    <w:rsid w:val="00BE2814"/>
    <w:rsid w:val="00BF2AAF"/>
    <w:rsid w:val="00BF6038"/>
    <w:rsid w:val="00BF7132"/>
    <w:rsid w:val="00C001F7"/>
    <w:rsid w:val="00C02475"/>
    <w:rsid w:val="00C06001"/>
    <w:rsid w:val="00C117DF"/>
    <w:rsid w:val="00C136D9"/>
    <w:rsid w:val="00C14B54"/>
    <w:rsid w:val="00C218EC"/>
    <w:rsid w:val="00C248A5"/>
    <w:rsid w:val="00C303E5"/>
    <w:rsid w:val="00C31514"/>
    <w:rsid w:val="00C32311"/>
    <w:rsid w:val="00C55976"/>
    <w:rsid w:val="00C650DD"/>
    <w:rsid w:val="00C71C01"/>
    <w:rsid w:val="00C72380"/>
    <w:rsid w:val="00C73AB1"/>
    <w:rsid w:val="00C81178"/>
    <w:rsid w:val="00C81C15"/>
    <w:rsid w:val="00C824FB"/>
    <w:rsid w:val="00C8633A"/>
    <w:rsid w:val="00C87A60"/>
    <w:rsid w:val="00C90EDB"/>
    <w:rsid w:val="00C922F4"/>
    <w:rsid w:val="00C9445C"/>
    <w:rsid w:val="00C95181"/>
    <w:rsid w:val="00C97FFC"/>
    <w:rsid w:val="00CA1A2F"/>
    <w:rsid w:val="00CB0FC3"/>
    <w:rsid w:val="00CC47A8"/>
    <w:rsid w:val="00CC6830"/>
    <w:rsid w:val="00CD06E6"/>
    <w:rsid w:val="00CD15AA"/>
    <w:rsid w:val="00CE2A90"/>
    <w:rsid w:val="00CE2D07"/>
    <w:rsid w:val="00CE4373"/>
    <w:rsid w:val="00CF0198"/>
    <w:rsid w:val="00CF1B3E"/>
    <w:rsid w:val="00CF2E88"/>
    <w:rsid w:val="00CF4819"/>
    <w:rsid w:val="00CF6EF4"/>
    <w:rsid w:val="00D0082D"/>
    <w:rsid w:val="00D00D69"/>
    <w:rsid w:val="00D04C96"/>
    <w:rsid w:val="00D11C5C"/>
    <w:rsid w:val="00D13321"/>
    <w:rsid w:val="00D13AA5"/>
    <w:rsid w:val="00D14DD6"/>
    <w:rsid w:val="00D15BC4"/>
    <w:rsid w:val="00D16F49"/>
    <w:rsid w:val="00D20DAB"/>
    <w:rsid w:val="00D211DA"/>
    <w:rsid w:val="00D24A9C"/>
    <w:rsid w:val="00D30246"/>
    <w:rsid w:val="00D31FB2"/>
    <w:rsid w:val="00D331C6"/>
    <w:rsid w:val="00D33F9D"/>
    <w:rsid w:val="00D41D06"/>
    <w:rsid w:val="00D47582"/>
    <w:rsid w:val="00D558B2"/>
    <w:rsid w:val="00D565FD"/>
    <w:rsid w:val="00D60AFD"/>
    <w:rsid w:val="00D627CA"/>
    <w:rsid w:val="00D72D3B"/>
    <w:rsid w:val="00D8066D"/>
    <w:rsid w:val="00D80E83"/>
    <w:rsid w:val="00D831B5"/>
    <w:rsid w:val="00D83638"/>
    <w:rsid w:val="00D84776"/>
    <w:rsid w:val="00D86DC6"/>
    <w:rsid w:val="00D94EF9"/>
    <w:rsid w:val="00DA1D04"/>
    <w:rsid w:val="00DA1DA1"/>
    <w:rsid w:val="00DB1CDE"/>
    <w:rsid w:val="00DC1ED7"/>
    <w:rsid w:val="00DE03AC"/>
    <w:rsid w:val="00DE089F"/>
    <w:rsid w:val="00DE28CA"/>
    <w:rsid w:val="00DE2C26"/>
    <w:rsid w:val="00DE4833"/>
    <w:rsid w:val="00DE6170"/>
    <w:rsid w:val="00DE7ED6"/>
    <w:rsid w:val="00DF03C7"/>
    <w:rsid w:val="00DF066B"/>
    <w:rsid w:val="00DF2C99"/>
    <w:rsid w:val="00E11654"/>
    <w:rsid w:val="00E11AB4"/>
    <w:rsid w:val="00E154F7"/>
    <w:rsid w:val="00E16A5C"/>
    <w:rsid w:val="00E17785"/>
    <w:rsid w:val="00E22679"/>
    <w:rsid w:val="00E228E8"/>
    <w:rsid w:val="00E22D70"/>
    <w:rsid w:val="00E235E5"/>
    <w:rsid w:val="00E251DC"/>
    <w:rsid w:val="00E3148B"/>
    <w:rsid w:val="00E337BD"/>
    <w:rsid w:val="00E33F0E"/>
    <w:rsid w:val="00E3499F"/>
    <w:rsid w:val="00E35CC6"/>
    <w:rsid w:val="00E36AA0"/>
    <w:rsid w:val="00E37A7F"/>
    <w:rsid w:val="00E414D8"/>
    <w:rsid w:val="00E41C25"/>
    <w:rsid w:val="00E45F96"/>
    <w:rsid w:val="00E53845"/>
    <w:rsid w:val="00E54511"/>
    <w:rsid w:val="00E551F2"/>
    <w:rsid w:val="00E572C3"/>
    <w:rsid w:val="00E658E5"/>
    <w:rsid w:val="00E71B3B"/>
    <w:rsid w:val="00E7663D"/>
    <w:rsid w:val="00E86274"/>
    <w:rsid w:val="00E86286"/>
    <w:rsid w:val="00E937D9"/>
    <w:rsid w:val="00EA078E"/>
    <w:rsid w:val="00EA53DD"/>
    <w:rsid w:val="00EA727F"/>
    <w:rsid w:val="00EC3224"/>
    <w:rsid w:val="00EC49F5"/>
    <w:rsid w:val="00EC57AE"/>
    <w:rsid w:val="00EC6F2F"/>
    <w:rsid w:val="00ED0DCB"/>
    <w:rsid w:val="00ED1A4B"/>
    <w:rsid w:val="00EE1759"/>
    <w:rsid w:val="00EE435F"/>
    <w:rsid w:val="00EE438F"/>
    <w:rsid w:val="00EF1798"/>
    <w:rsid w:val="00EF34DF"/>
    <w:rsid w:val="00EF7D45"/>
    <w:rsid w:val="00F03697"/>
    <w:rsid w:val="00F11F85"/>
    <w:rsid w:val="00F15D56"/>
    <w:rsid w:val="00F23050"/>
    <w:rsid w:val="00F23D82"/>
    <w:rsid w:val="00F24AC2"/>
    <w:rsid w:val="00F261AC"/>
    <w:rsid w:val="00F26F28"/>
    <w:rsid w:val="00F278E0"/>
    <w:rsid w:val="00F27D96"/>
    <w:rsid w:val="00F3119B"/>
    <w:rsid w:val="00F35496"/>
    <w:rsid w:val="00F357C8"/>
    <w:rsid w:val="00F35D32"/>
    <w:rsid w:val="00F360CA"/>
    <w:rsid w:val="00F47DDA"/>
    <w:rsid w:val="00F528DA"/>
    <w:rsid w:val="00F5368A"/>
    <w:rsid w:val="00F537B1"/>
    <w:rsid w:val="00F63725"/>
    <w:rsid w:val="00F6441D"/>
    <w:rsid w:val="00F735B1"/>
    <w:rsid w:val="00F74A1B"/>
    <w:rsid w:val="00F81878"/>
    <w:rsid w:val="00F86CE8"/>
    <w:rsid w:val="00F91CEB"/>
    <w:rsid w:val="00F97E2B"/>
    <w:rsid w:val="00FA758E"/>
    <w:rsid w:val="00FA77A5"/>
    <w:rsid w:val="00FA7A66"/>
    <w:rsid w:val="00FB05D7"/>
    <w:rsid w:val="00FB0EFA"/>
    <w:rsid w:val="00FB34DB"/>
    <w:rsid w:val="00FC1EE6"/>
    <w:rsid w:val="00FC2491"/>
    <w:rsid w:val="00FC30BC"/>
    <w:rsid w:val="00FD5F92"/>
    <w:rsid w:val="00FD6AC7"/>
    <w:rsid w:val="00FD6EB9"/>
    <w:rsid w:val="00FE0A3B"/>
    <w:rsid w:val="00FE19D0"/>
    <w:rsid w:val="00FE35FE"/>
    <w:rsid w:val="00FE4BB6"/>
    <w:rsid w:val="00FF1911"/>
    <w:rsid w:val="00FF3901"/>
    <w:rsid w:val="00FF66E6"/>
    <w:rsid w:val="06D1799F"/>
    <w:rsid w:val="11F91258"/>
    <w:rsid w:val="21F61CD0"/>
    <w:rsid w:val="21FF5AA2"/>
    <w:rsid w:val="2A4772DF"/>
    <w:rsid w:val="382F4D8A"/>
    <w:rsid w:val="516E0F7A"/>
    <w:rsid w:val="5988412C"/>
    <w:rsid w:val="66B27E25"/>
    <w:rsid w:val="70586BD5"/>
    <w:rsid w:val="71BC0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qFormat/>
    <w:pPr>
      <w:jc w:val="left"/>
    </w:pPr>
    <w:rPr>
      <w:color w:val="0090FF"/>
      <w:kern w:val="0"/>
      <w:sz w:val="24"/>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Trial" w:eastAsia="Trial" w:hAnsi="Trial" w:cs="Trial"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qFormat/>
    <w:pPr>
      <w:jc w:val="left"/>
    </w:pPr>
    <w:rPr>
      <w:color w:val="0090FF"/>
      <w:kern w:val="0"/>
      <w:sz w:val="24"/>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Trial" w:eastAsia="Trial" w:hAnsi="Trial" w:cs="Trial"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FCBAD-D580-46D0-9190-146A3EEB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张莹</dc:creator>
  <cp:lastModifiedBy>刘文文(处长)</cp:lastModifiedBy>
  <cp:revision>629</cp:revision>
  <cp:lastPrinted>2021-03-23T02:19:00Z</cp:lastPrinted>
  <dcterms:created xsi:type="dcterms:W3CDTF">2018-03-05T08:55:00Z</dcterms:created>
  <dcterms:modified xsi:type="dcterms:W3CDTF">2021-04-26T04:19:00Z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