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BA" w:rsidRDefault="00BE01BA" w:rsidP="009B3402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BE01BA">
        <w:rPr>
          <w:rFonts w:ascii="仿宋_GB2312" w:eastAsia="仿宋_GB2312" w:hAnsi="宋体" w:hint="eastAsia"/>
          <w:b/>
          <w:sz w:val="36"/>
          <w:szCs w:val="36"/>
        </w:rPr>
        <w:t>2020年福建省气象局直属事业单位紧缺急需人才</w:t>
      </w:r>
    </w:p>
    <w:p w:rsidR="009B3402" w:rsidRPr="00522DB8" w:rsidRDefault="00BE01BA" w:rsidP="00522DB8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BE01BA">
        <w:rPr>
          <w:rFonts w:ascii="仿宋_GB2312" w:eastAsia="仿宋_GB2312" w:hAnsi="宋体" w:hint="eastAsia"/>
          <w:b/>
          <w:sz w:val="36"/>
          <w:szCs w:val="36"/>
        </w:rPr>
        <w:t>招聘（气象类</w:t>
      </w:r>
      <w:r w:rsidR="00AA5557">
        <w:rPr>
          <w:rFonts w:ascii="仿宋_GB2312" w:eastAsia="仿宋_GB2312" w:hAnsi="宋体" w:hint="eastAsia"/>
          <w:b/>
          <w:sz w:val="36"/>
          <w:szCs w:val="36"/>
        </w:rPr>
        <w:t>岗位</w:t>
      </w:r>
      <w:r w:rsidRPr="00BE01BA">
        <w:rPr>
          <w:rFonts w:ascii="仿宋_GB2312" w:eastAsia="仿宋_GB2312" w:hAnsi="宋体" w:hint="eastAsia"/>
          <w:b/>
          <w:sz w:val="36"/>
          <w:szCs w:val="36"/>
        </w:rPr>
        <w:t>）调剂</w:t>
      </w:r>
      <w:r w:rsidR="00AA5557">
        <w:rPr>
          <w:rFonts w:ascii="仿宋_GB2312" w:eastAsia="仿宋_GB2312" w:hAnsi="宋体" w:hint="eastAsia"/>
          <w:b/>
          <w:sz w:val="36"/>
          <w:szCs w:val="36"/>
        </w:rPr>
        <w:t>结果</w:t>
      </w:r>
      <w:r w:rsidR="009B5758" w:rsidRPr="009B5758">
        <w:rPr>
          <w:rFonts w:ascii="仿宋_GB2312" w:eastAsia="仿宋_GB2312" w:hAnsi="宋体" w:hint="eastAsia"/>
          <w:b/>
          <w:sz w:val="36"/>
          <w:szCs w:val="36"/>
        </w:rPr>
        <w:t>公布</w:t>
      </w:r>
    </w:p>
    <w:p w:rsidR="00D24721" w:rsidRDefault="009B5758" w:rsidP="00522DB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5758">
        <w:rPr>
          <w:rFonts w:ascii="仿宋_GB2312" w:eastAsia="仿宋_GB2312" w:hint="eastAsia"/>
          <w:sz w:val="32"/>
          <w:szCs w:val="32"/>
        </w:rPr>
        <w:t>根据《2020年福建省气象局</w:t>
      </w:r>
      <w:r w:rsidR="00AA5557">
        <w:rPr>
          <w:rFonts w:ascii="仿宋_GB2312" w:eastAsia="仿宋_GB2312" w:hint="eastAsia"/>
          <w:sz w:val="32"/>
          <w:szCs w:val="32"/>
        </w:rPr>
        <w:t>直属事业单位赴南京公开招聘紧缺急需人才工作方案（气象类</w:t>
      </w:r>
      <w:r w:rsidRPr="009B5758">
        <w:rPr>
          <w:rFonts w:ascii="仿宋_GB2312" w:eastAsia="仿宋_GB2312" w:hint="eastAsia"/>
          <w:sz w:val="32"/>
          <w:szCs w:val="32"/>
        </w:rPr>
        <w:t>岗位）》</w:t>
      </w:r>
      <w:r w:rsidR="00AA5557">
        <w:rPr>
          <w:rFonts w:ascii="仿宋_GB2312" w:eastAsia="仿宋_GB2312" w:hint="eastAsia"/>
          <w:sz w:val="32"/>
          <w:szCs w:val="32"/>
        </w:rPr>
        <w:t>（面试时间为</w:t>
      </w:r>
      <w:r w:rsidR="00AA5557">
        <w:rPr>
          <w:rFonts w:ascii="仿宋_GB2312" w:eastAsia="仿宋_GB2312" w:hint="eastAsia"/>
          <w:sz w:val="32"/>
          <w:szCs w:val="32"/>
        </w:rPr>
        <w:t>2020年1月9日</w:t>
      </w:r>
      <w:r w:rsidR="00AA5557">
        <w:rPr>
          <w:rFonts w:ascii="仿宋_GB2312" w:eastAsia="仿宋_GB2312" w:hint="eastAsia"/>
          <w:sz w:val="32"/>
          <w:szCs w:val="32"/>
        </w:rPr>
        <w:t>）</w:t>
      </w:r>
      <w:r w:rsidRPr="009B5758">
        <w:rPr>
          <w:rFonts w:ascii="仿宋_GB2312" w:eastAsia="仿宋_GB2312" w:hint="eastAsia"/>
          <w:sz w:val="32"/>
          <w:szCs w:val="32"/>
        </w:rPr>
        <w:t>，按照</w:t>
      </w:r>
      <w:r w:rsidRPr="0081469B">
        <w:rPr>
          <w:rFonts w:ascii="仿宋_GB2312" w:eastAsia="仿宋_GB2312" w:hint="eastAsia"/>
          <w:b/>
          <w:sz w:val="32"/>
          <w:szCs w:val="32"/>
        </w:rPr>
        <w:t>调剂原则</w:t>
      </w:r>
      <w:r w:rsidRPr="009B5758">
        <w:rPr>
          <w:rFonts w:ascii="仿宋_GB2312" w:eastAsia="仿宋_GB2312" w:hint="eastAsia"/>
          <w:sz w:val="32"/>
          <w:szCs w:val="32"/>
        </w:rPr>
        <w:t>（</w:t>
      </w:r>
      <w:r w:rsidRPr="00254B7F">
        <w:rPr>
          <w:rFonts w:ascii="仿宋_GB2312" w:eastAsia="仿宋_GB2312" w:hint="eastAsia"/>
          <w:sz w:val="32"/>
          <w:szCs w:val="32"/>
        </w:rPr>
        <w:t>按</w:t>
      </w:r>
      <w:r w:rsidRPr="00254B7F">
        <w:rPr>
          <w:rFonts w:ascii="仿宋_GB2312" w:eastAsia="仿宋_GB2312" w:hAnsi="宋体" w:cs="宋体" w:hint="eastAsia"/>
          <w:sz w:val="32"/>
          <w:szCs w:val="32"/>
        </w:rPr>
        <w:t>各个</w:t>
      </w:r>
      <w:r w:rsidRPr="00254B7F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符合专业要求的</w:t>
      </w:r>
      <w:r w:rsidRPr="00254B7F">
        <w:rPr>
          <w:rFonts w:ascii="仿宋_GB2312" w:eastAsia="仿宋_GB2312" w:hint="eastAsia"/>
          <w:sz w:val="32"/>
          <w:szCs w:val="32"/>
        </w:rPr>
        <w:t>调剂报名者</w:t>
      </w:r>
      <w:r>
        <w:rPr>
          <w:rFonts w:ascii="仿宋_GB2312" w:eastAsia="仿宋_GB2312" w:hint="eastAsia"/>
          <w:sz w:val="32"/>
          <w:szCs w:val="32"/>
        </w:rPr>
        <w:t>的</w:t>
      </w:r>
      <w:r w:rsidRPr="00254B7F"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 w:hint="eastAsia"/>
          <w:sz w:val="32"/>
          <w:szCs w:val="32"/>
        </w:rPr>
        <w:t>，从</w:t>
      </w:r>
      <w:r w:rsidRPr="00254B7F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分到</w:t>
      </w:r>
      <w:r w:rsidRPr="00254B7F">
        <w:rPr>
          <w:rFonts w:ascii="仿宋_GB2312" w:eastAsia="仿宋_GB2312" w:hint="eastAsia"/>
          <w:sz w:val="32"/>
          <w:szCs w:val="32"/>
        </w:rPr>
        <w:t>低</w:t>
      </w:r>
      <w:r>
        <w:rPr>
          <w:rFonts w:ascii="仿宋_GB2312" w:eastAsia="仿宋_GB2312" w:hint="eastAsia"/>
          <w:sz w:val="32"/>
          <w:szCs w:val="32"/>
        </w:rPr>
        <w:t>分依次</w:t>
      </w:r>
      <w:r w:rsidRPr="00254B7F">
        <w:rPr>
          <w:rFonts w:ascii="仿宋_GB2312" w:eastAsia="仿宋_GB2312" w:hint="eastAsia"/>
          <w:sz w:val="32"/>
          <w:szCs w:val="32"/>
        </w:rPr>
        <w:t>通过调剂补充到空</w:t>
      </w:r>
      <w:r w:rsidRPr="00C74C06">
        <w:rPr>
          <w:rFonts w:ascii="仿宋" w:eastAsia="仿宋" w:hAnsi="仿宋" w:hint="eastAsia"/>
          <w:sz w:val="32"/>
          <w:szCs w:val="32"/>
        </w:rPr>
        <w:t>缺岗位。</w:t>
      </w:r>
      <w:r>
        <w:rPr>
          <w:rFonts w:ascii="仿宋" w:eastAsia="仿宋" w:hAnsi="仿宋" w:hint="eastAsia"/>
          <w:bCs/>
          <w:sz w:val="32"/>
          <w:szCs w:val="32"/>
        </w:rPr>
        <w:t>已接受调剂的报考人员，在原岗位空缺时，不再参加递补）</w:t>
      </w:r>
      <w:r w:rsidRPr="009B5758">
        <w:rPr>
          <w:rFonts w:ascii="仿宋_GB2312" w:eastAsia="仿宋_GB2312" w:hint="eastAsia"/>
          <w:sz w:val="32"/>
          <w:szCs w:val="32"/>
        </w:rPr>
        <w:t>进行调剂，现将调剂</w:t>
      </w:r>
      <w:r w:rsidR="008026D7">
        <w:rPr>
          <w:rFonts w:ascii="仿宋_GB2312" w:eastAsia="仿宋_GB2312" w:hint="eastAsia"/>
          <w:sz w:val="32"/>
          <w:szCs w:val="32"/>
        </w:rPr>
        <w:t>结果</w:t>
      </w:r>
      <w:bookmarkStart w:id="0" w:name="_GoBack"/>
      <w:bookmarkEnd w:id="0"/>
      <w:r w:rsidRPr="009B5758">
        <w:rPr>
          <w:rFonts w:ascii="仿宋_GB2312" w:eastAsia="仿宋_GB2312" w:hint="eastAsia"/>
          <w:sz w:val="32"/>
          <w:szCs w:val="32"/>
        </w:rPr>
        <w:t>公布如下：</w:t>
      </w:r>
    </w:p>
    <w:tbl>
      <w:tblPr>
        <w:tblW w:w="9434" w:type="dxa"/>
        <w:jc w:val="center"/>
        <w:tblInd w:w="-288" w:type="dxa"/>
        <w:tblLook w:val="04A0" w:firstRow="1" w:lastRow="0" w:firstColumn="1" w:lastColumn="0" w:noHBand="0" w:noVBand="1"/>
      </w:tblPr>
      <w:tblGrid>
        <w:gridCol w:w="1711"/>
        <w:gridCol w:w="2117"/>
        <w:gridCol w:w="1386"/>
        <w:gridCol w:w="708"/>
        <w:gridCol w:w="993"/>
        <w:gridCol w:w="1134"/>
        <w:gridCol w:w="1385"/>
      </w:tblGrid>
      <w:tr w:rsidR="00AA5557" w:rsidRPr="00956383" w:rsidTr="00AA5557">
        <w:trPr>
          <w:trHeight w:val="80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956383" w:rsidRDefault="00AA5557" w:rsidP="006752A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具体用人单位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956383" w:rsidRDefault="00AA5557" w:rsidP="006752A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专业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956383" w:rsidRDefault="00AA5557" w:rsidP="006752A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学历</w:t>
            </w:r>
          </w:p>
          <w:p w:rsidR="00AA5557" w:rsidRPr="00956383" w:rsidRDefault="00AA5557" w:rsidP="006752A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956383" w:rsidRDefault="00AA5557" w:rsidP="006752A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需求数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Default="00AA5557" w:rsidP="006752A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参加调剂人员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Default="00AA5557" w:rsidP="006752A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成绩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6752A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AA5557" w:rsidRPr="00956383" w:rsidTr="00AA5557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莆田市气象台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5557" w:rsidRPr="00956383" w:rsidTr="00AA5557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5557" w:rsidRPr="00956383" w:rsidTr="00AA5557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南平市气象服务中心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5557" w:rsidRPr="00956383" w:rsidTr="00AA5557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南平生态与农业气象试验站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A5557" w:rsidRPr="00956383" w:rsidTr="007302E6">
        <w:trPr>
          <w:trHeight w:val="570"/>
          <w:jc w:val="center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泉州市安溪县气象局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82.2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AA5557" w:rsidRPr="00956383" w:rsidTr="007302E6">
        <w:trPr>
          <w:trHeight w:val="570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吴佩聪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80.6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81469B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A5557" w:rsidRPr="00956383" w:rsidTr="007302E6">
        <w:trPr>
          <w:trHeight w:val="570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游致</w:t>
            </w:r>
            <w:proofErr w:type="gramStart"/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帷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78.4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81469B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A5557" w:rsidRPr="00956383" w:rsidTr="007302E6">
        <w:trPr>
          <w:trHeight w:val="570"/>
          <w:jc w:val="center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郭铭淇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73.1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81469B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A5557" w:rsidRPr="00956383" w:rsidTr="00AA5557">
        <w:trPr>
          <w:trHeight w:val="57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三明市宁化县气象局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黄澍寒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76.6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AA5557" w:rsidRPr="00956383" w:rsidTr="00AA5557">
        <w:trPr>
          <w:trHeight w:val="57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三明市清流县气象局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邓占荣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82.8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  <w:tr w:rsidR="00AA5557" w:rsidRPr="00956383" w:rsidTr="00AA5557">
        <w:trPr>
          <w:trHeight w:val="57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宁德市周宁县气象局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C5553A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刘翔宇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AA555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A5557">
              <w:rPr>
                <w:rFonts w:ascii="宋体" w:hAnsi="宋体" w:cs="宋体" w:hint="eastAsia"/>
                <w:kern w:val="0"/>
                <w:sz w:val="22"/>
                <w:szCs w:val="22"/>
              </w:rPr>
              <w:t>84.4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6752A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146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进入考察和体检程序</w:t>
            </w:r>
          </w:p>
        </w:tc>
      </w:tr>
    </w:tbl>
    <w:p w:rsidR="00AA5557" w:rsidRPr="00522DB8" w:rsidRDefault="00AA5557" w:rsidP="00522D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5758" w:rsidRPr="00254B7F" w:rsidRDefault="009B5758" w:rsidP="009B5758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福建省气象局人事处</w:t>
      </w:r>
    </w:p>
    <w:p w:rsidR="00F8462F" w:rsidRPr="009B5758" w:rsidRDefault="009B5758" w:rsidP="00522DB8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 20</w:t>
      </w:r>
      <w:r w:rsidR="00AA5557">
        <w:rPr>
          <w:rFonts w:ascii="仿宋_GB2312" w:eastAsia="仿宋_GB2312" w:hint="eastAsia"/>
          <w:sz w:val="32"/>
          <w:szCs w:val="32"/>
        </w:rPr>
        <w:t>20</w:t>
      </w:r>
      <w:r w:rsidRPr="00254B7F">
        <w:rPr>
          <w:rFonts w:ascii="仿宋_GB2312" w:eastAsia="仿宋_GB2312" w:hint="eastAsia"/>
          <w:sz w:val="32"/>
          <w:szCs w:val="32"/>
        </w:rPr>
        <w:t>年</w:t>
      </w:r>
      <w:r w:rsidR="00AA5557">
        <w:rPr>
          <w:rFonts w:ascii="仿宋_GB2312" w:eastAsia="仿宋_GB2312" w:hint="eastAsia"/>
          <w:sz w:val="32"/>
          <w:szCs w:val="32"/>
        </w:rPr>
        <w:t>4</w:t>
      </w:r>
      <w:r w:rsidRPr="00254B7F">
        <w:rPr>
          <w:rFonts w:ascii="仿宋_GB2312" w:eastAsia="仿宋_GB2312" w:hint="eastAsia"/>
          <w:sz w:val="32"/>
          <w:szCs w:val="32"/>
        </w:rPr>
        <w:t>月</w:t>
      </w:r>
      <w:r w:rsidR="00AA5557">
        <w:rPr>
          <w:rFonts w:ascii="仿宋_GB2312" w:eastAsia="仿宋_GB2312" w:hint="eastAsia"/>
          <w:sz w:val="32"/>
          <w:szCs w:val="32"/>
        </w:rPr>
        <w:t>8</w:t>
      </w:r>
      <w:r w:rsidRPr="00254B7F">
        <w:rPr>
          <w:rFonts w:ascii="仿宋_GB2312" w:eastAsia="仿宋_GB2312" w:hint="eastAsia"/>
          <w:sz w:val="32"/>
          <w:szCs w:val="32"/>
        </w:rPr>
        <w:t>日</w:t>
      </w:r>
    </w:p>
    <w:sectPr w:rsidR="00F8462F" w:rsidRPr="009B5758" w:rsidSect="00522DB8">
      <w:footerReference w:type="even" r:id="rId7"/>
      <w:footerReference w:type="default" r:id="rId8"/>
      <w:pgSz w:w="11906" w:h="16838"/>
      <w:pgMar w:top="1135" w:right="155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C8" w:rsidRDefault="00AA67C8" w:rsidP="009B3402">
      <w:r>
        <w:separator/>
      </w:r>
    </w:p>
  </w:endnote>
  <w:endnote w:type="continuationSeparator" w:id="0">
    <w:p w:rsidR="00AA67C8" w:rsidRDefault="00AA67C8" w:rsidP="009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5" w:rsidRDefault="004A50C8" w:rsidP="00725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34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665" w:rsidRDefault="00AA67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5" w:rsidRDefault="004A50C8" w:rsidP="00725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34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26D7">
      <w:rPr>
        <w:rStyle w:val="a6"/>
        <w:noProof/>
      </w:rPr>
      <w:t>1</w:t>
    </w:r>
    <w:r>
      <w:rPr>
        <w:rStyle w:val="a6"/>
      </w:rPr>
      <w:fldChar w:fldCharType="end"/>
    </w:r>
  </w:p>
  <w:p w:rsidR="00B55665" w:rsidRDefault="00AA67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C8" w:rsidRDefault="00AA67C8" w:rsidP="009B3402">
      <w:r>
        <w:separator/>
      </w:r>
    </w:p>
  </w:footnote>
  <w:footnote w:type="continuationSeparator" w:id="0">
    <w:p w:rsidR="00AA67C8" w:rsidRDefault="00AA67C8" w:rsidP="009B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767"/>
    <w:rsid w:val="001324DE"/>
    <w:rsid w:val="00193189"/>
    <w:rsid w:val="001D75EB"/>
    <w:rsid w:val="00252BC3"/>
    <w:rsid w:val="00263294"/>
    <w:rsid w:val="004412B9"/>
    <w:rsid w:val="004A50C8"/>
    <w:rsid w:val="00522DB8"/>
    <w:rsid w:val="006723E5"/>
    <w:rsid w:val="006C6767"/>
    <w:rsid w:val="007365C2"/>
    <w:rsid w:val="00800020"/>
    <w:rsid w:val="008026D7"/>
    <w:rsid w:val="0081469B"/>
    <w:rsid w:val="00854820"/>
    <w:rsid w:val="008F001A"/>
    <w:rsid w:val="009B3402"/>
    <w:rsid w:val="009B5758"/>
    <w:rsid w:val="00AA5557"/>
    <w:rsid w:val="00AA67C8"/>
    <w:rsid w:val="00B20DA5"/>
    <w:rsid w:val="00B9011D"/>
    <w:rsid w:val="00B94C91"/>
    <w:rsid w:val="00BD66C5"/>
    <w:rsid w:val="00BE01BA"/>
    <w:rsid w:val="00C54E62"/>
    <w:rsid w:val="00C74C06"/>
    <w:rsid w:val="00C90ACB"/>
    <w:rsid w:val="00D24721"/>
    <w:rsid w:val="00DB5E31"/>
    <w:rsid w:val="00ED671B"/>
    <w:rsid w:val="00F276EE"/>
    <w:rsid w:val="00F72214"/>
    <w:rsid w:val="00F8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  <w:style w:type="paragraph" w:styleId="a7">
    <w:name w:val="Balloon Text"/>
    <w:basedOn w:val="a"/>
    <w:link w:val="Char1"/>
    <w:uiPriority w:val="99"/>
    <w:semiHidden/>
    <w:unhideWhenUsed/>
    <w:rsid w:val="008548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48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阮惠华</dc:creator>
  <cp:lastModifiedBy>阮惠华(拟稿人校对)</cp:lastModifiedBy>
  <cp:revision>11</cp:revision>
  <cp:lastPrinted>2020-04-08T01:23:00Z</cp:lastPrinted>
  <dcterms:created xsi:type="dcterms:W3CDTF">2019-11-29T01:52:00Z</dcterms:created>
  <dcterms:modified xsi:type="dcterms:W3CDTF">2020-04-08T01:38:00Z</dcterms:modified>
</cp:coreProperties>
</file>