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pStyle w:val="a11"/>
        <w:numPr>
          <w:ilvl w:val="0"/>
          <w:numId w:val="0"/>
        </w:numPr>
        <w:spacing w:before="156"/>
        <w:jc w:val="both"/>
      </w:pPr>
      <w:r>
        <w:rPr>
          <w:rFonts w:hint="eastAsia"/>
        </w:rPr>
        <w:t>附件</w:t>
      </w:r>
    </w:p>
    <w:p>
      <w:pPr>
        <w:pStyle w:val="a11"/>
        <w:numPr>
          <w:ilvl w:val="0"/>
          <w:numId w:val="0"/>
        </w:numPr>
        <w:spacing w:before="156"/>
      </w:pPr>
      <w:r>
        <w:rPr>
          <w:rFonts w:hint="eastAsia"/>
        </w:rPr>
        <w:t>雷电防护装置检测单位安全生产标准化评分细则</w:t>
      </w:r>
    </w:p>
    <w:p>
      <w:pPr>
        <w:pStyle w:val="a"/>
        <w:ind w:firstLine="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共   页 第   页</w:t>
      </w:r>
    </w:p>
    <w:tbl>
      <w:tblPr>
        <w:tblStyle w:val="TableNormal"/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37"/>
        <w:gridCol w:w="638"/>
        <w:gridCol w:w="4632"/>
        <w:gridCol w:w="870"/>
        <w:gridCol w:w="855"/>
        <w:gridCol w:w="660"/>
        <w:gridCol w:w="811"/>
      </w:tblGrid>
      <w:tr>
        <w:tblPrEx>
          <w:tblW w:w="9813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  <w:jc w:val="center"/>
        </w:trPr>
        <w:tc>
          <w:tcPr>
            <w:tcW w:w="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核心要求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目标要素</w:t>
            </w:r>
          </w:p>
        </w:tc>
        <w:tc>
          <w:tcPr>
            <w:tcW w:w="4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评分内容及说明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空项分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得分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目标职责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目标</w:t>
            </w:r>
          </w:p>
        </w:tc>
        <w:tc>
          <w:tcPr>
            <w:tcW w:w="4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制定安全生产总体目标和年度目标。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/>
          <w:jc w:val="center"/>
        </w:trPr>
        <w:tc>
          <w:tcPr>
            <w:tcW w:w="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安全生产目标的制定、实施、检查、考核等分解落实到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具体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部门和人员。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/>
          <w:jc w:val="center"/>
        </w:trPr>
        <w:tc>
          <w:tcPr>
            <w:tcW w:w="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机构和职责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具有独立法人资格</w:t>
            </w: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分，分支机构</w:t>
            </w: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  <w:jc w:val="center"/>
        </w:trPr>
        <w:tc>
          <w:tcPr>
            <w:tcW w:w="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甲级资质10分，乙级资质5分。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/>
          <w:jc w:val="center"/>
        </w:trPr>
        <w:tc>
          <w:tcPr>
            <w:tcW w:w="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主要负责人全面负责安全生产工作，有相应责任和义务。分管负责人和各安全管理人员有各自的职责。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制度化管理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法规标准识别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建立安全生产法律法规、标准规范的清单和文本数据库。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将安全生产法律法规、标准规范的相关要求及时转化为本单位的规章制度、操作规程。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制度建设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防雷安全生产责任制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防雷安全风险管控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防雷检测设备定期校准和维护保养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安全教育培训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办公场所隐患排查治理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文档管理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记录管理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文件和记录管理制度，明确安全生产规章制度的编制、评审、发布、使用、修订、作废以及文件和记录管理的职责、程序和要求。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beforeAutospacing="0" w:afterAutospacing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建立和保存有关安全生产和防雷检测报告的电子档案，支持查询和检索，便于自身管理使用和行业主管部门调取检查。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修订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及时修订安全生产规章制度。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培训和资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格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专业知识培训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雷电防护原理、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雷电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防护装置的设计和安装要求、测试和评估方法等方面的知识培训。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技术培训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使用各种检测设备和工具、进行测量和测试的方法和技巧等方面的培训。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法规和标准培训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相关的法规、标准和规范培训。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实践经验积累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作业人员参与雷电防护装置实际检测项目情况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资格认证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相关的资格证书情况，如电工证、高空作业证等。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检测人员素质及个人防护装备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/>
              <w:spacing w:before="-2147483648" w:beforeLines="-2147483648" w:after="-2147483648" w:afterLines="-2147483648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附录</w:t>
            </w:r>
            <w:r>
              <w:rPr>
                <w:rFonts w:ascii="仿宋_GB2312" w:eastAsia="仿宋_GB2312" w:hAnsi="仿宋_GB2312" w:cs="仿宋_GB2312"/>
                <w:szCs w:val="21"/>
              </w:rPr>
              <w:t>A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一项不符合扣5分。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检测仪器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仪器种类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具有满足相应资质、相应技术标准的专业设备。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（见《雷电防护装置检测资质管理办法》附表1 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雷电防护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装置检测专业设备表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校准和校验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用于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雷电防护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装置检测的专用仪器设备应当经法定计量检定机构检定或校准，并在有效期内。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仪器日常管理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仪器的出入库管理、破损仪器检修销毁管理。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仪器档案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仪器的检查、校验和维护进行详细的记录和管理，其中包括日期、操作人员、结果等信息，完善设备的追溯和维护管理。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检测作业现场准备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检查天气条件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检查天气条件，确保进行防雷检测的工作现场不受恶劣天气的影响。如遇雷暴、大风等极端天气情况，应暂停工作并采取安全措施。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安全防护措施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根据工作现场的特点和需求，设置必要的安全防护措施。例如，设置警示标志、隔离区域、安全围栏等。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清理工作现场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清除工作现场上必要的杂物、垃圾和其他障碍物，确保工作区域整洁、开阔。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工具和设备准备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检查和准备所需的工具和设备，确保其完整、可用。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确认电源状态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确认工作现场的电源状态，包括电源是否已切断、电气设备是否已停止运行。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文件和记录管理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准备所需的文件和记录，例如检测记录表等。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人员培训和沟通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确保参与防雷检测的人员已接受相关培训，并了解工作现场准备和安全要求。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紧急情况应对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制定紧急情况应对措施和预案，包括逃生路线、急救措施和报警程序等。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检测程序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确定检测目标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明确需要进行防雷检测的目标，例如建筑物、设备、电气系统等。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准备测量设备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根据检测目标和要求，选择合适的防雷检测设备和测量仪器。确保设备已经校准，并进行必要的功能检查和电源供应准备。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测量点的选择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根据检测目标和检测要求，在目标上选择合适的测量点，对建筑物的不同部位、设备的特定位置或电气系统的关键节点进行分析并选择测量点。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测量和测试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按照设备的操作说明和相关标准，对选定的测量点进行测量和测试，记录测量数据并进行分析。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数据记录和分析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将测量得到的数据记录下来。根据相关标准和要求，对数据进行分析和评估，判断是否符合防雷要求。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结果评估和报告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根据测量和分析的结果，评估目标的防雷状况，并编制检测报告。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维护和改进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根据检测结果和建议措施，进行必要的维护和改进工作。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防雷检测安全风险处置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火灾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立即通知相关人员，触发火警报警系统。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尽快撤离现场，确保所有人员安全。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关闭电源和气源，切断火势蔓延的供应。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使用灭火器或灭火设备进行初期灭火，如果火势无法控制，立即撤离并呼叫消防部门。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注1</w:t>
            </w: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电击风险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如果有人触电或出现电击风险，应采取以下措施：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立即切断电源，停止电流流动。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不要直接接触被触电的人员，使用绝缘工具或干燥的非导电物体进行救援。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立即呼叫急救人员提供帮助。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不良天气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在预测恶劣天气来临之前，尽早中止检测工作并撤离现场。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避免在雷雨、大风或冰雹等天气条件下进行检测作业。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事故伤害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立即停止工作，确保现场安全，评估受伤人员的状况。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如果受伤严重，立即呼叫急救人员或紧急救援服务。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保持事故现场不动，以便进一步的调查和事故报告。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中断工作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在发生紧急情况时，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根据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需要中断防雷检测工作，确保人员安全。在解决紧急情况之后，根据具体情况评估是否需要重新规划工作进程或采取其他措施。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生产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安全事故报告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出具安全事故报告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事故报告应包括以下内容：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事件的具体描述和发生时间。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受伤人员的姓名、伤势和接受的医疗处理。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事故原因的初步分析和评估。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接受紧急救援、事故调查或其他相关部门的联系方式。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持续改进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绩效评定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每年至少应对安全生产标准化管理体系的运行情况进行一次自评，验证各项制度措施的适宜性、充分性和有效性，检查安全生产目标和绩效完成情况。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813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持续改进</w:t>
            </w:r>
          </w:p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应根据安全生产标准化管理体系的自评结果，客观分析管理体系的运行质量，及时调整完善相关制度文件和过程管控，持续改进，全面提高安全生产绩效和管理水平。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 w:hAnsi="仿宋_GB2312" w:cs="仿宋_GB2312"/>
          <w:szCs w:val="21"/>
        </w:rPr>
      </w:pPr>
    </w:p>
    <w:p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注1：无</w:t>
      </w:r>
      <w:r>
        <w:rPr>
          <w:rFonts w:ascii="仿宋_GB2312" w:eastAsia="仿宋_GB2312" w:hAnsi="仿宋_GB2312" w:cs="仿宋_GB2312" w:hint="eastAsia"/>
          <w:szCs w:val="21"/>
          <w:lang w:eastAsia="zh-CN"/>
        </w:rPr>
        <w:t>安全风险</w:t>
      </w:r>
      <w:r>
        <w:rPr>
          <w:rFonts w:ascii="仿宋_GB2312" w:eastAsia="仿宋_GB2312" w:hAnsi="仿宋_GB2312" w:cs="仿宋_GB2312" w:hint="eastAsia"/>
          <w:szCs w:val="21"/>
        </w:rPr>
        <w:t>发生按照空项，空项按照满分计算。</w:t>
      </w:r>
    </w:p>
    <w:p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审核（项目组组长）：</w:t>
      </w:r>
      <w:r>
        <w:rPr>
          <w:rFonts w:ascii="仿宋_GB2312" w:eastAsia="仿宋_GB2312" w:hAnsi="仿宋_GB2312" w:cs="仿宋_GB2312"/>
          <w:szCs w:val="21"/>
        </w:rPr>
        <w:t xml:space="preserve">       </w:t>
      </w:r>
    </w:p>
    <w:p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检查（评审）人员：</w:t>
      </w:r>
      <w:r>
        <w:rPr>
          <w:rFonts w:ascii="仿宋_GB2312" w:eastAsia="仿宋_GB2312" w:hAnsi="仿宋_GB2312" w:cs="仿宋_GB2312"/>
          <w:szCs w:val="21"/>
        </w:rPr>
        <w:t xml:space="preserve">       </w:t>
      </w:r>
    </w:p>
    <w:p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检查（评审）时间：</w:t>
      </w:r>
      <w:r>
        <w:rPr>
          <w:rFonts w:ascii="仿宋_GB2312" w:eastAsia="仿宋_GB2312" w:hAnsi="仿宋_GB2312" w:cs="仿宋_GB2312"/>
          <w:szCs w:val="21"/>
        </w:rPr>
        <w:t xml:space="preserve">   年  月  日</w:t>
      </w: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jc w:val="left"/>
        <w:rPr>
          <w:rFonts w:ascii="仿宋_GB2312" w:eastAsia="仿宋_GB2312" w:hAnsi="仿宋_GB2312" w:cs="仿宋_GB2312" w:hint="eastAsia"/>
          <w:szCs w:val="21"/>
        </w:rPr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"/>
      </w:pPr>
    </w:p>
    <w:p>
      <w:pPr>
        <w:pStyle w:val="a11"/>
        <w:numPr>
          <w:ilvl w:val="0"/>
          <w:numId w:val="0"/>
        </w:numPr>
        <w:spacing w:before="156"/>
        <w:jc w:val="left"/>
      </w:pPr>
    </w:p>
    <w:p>
      <w:pPr>
        <w:pStyle w:val="a11"/>
        <w:numPr>
          <w:ilvl w:val="0"/>
          <w:numId w:val="0"/>
        </w:numPr>
        <w:spacing w:before="156"/>
        <w:jc w:val="both"/>
      </w:pPr>
      <w:r>
        <w:rPr>
          <w:rFonts w:hint="eastAsia"/>
        </w:rPr>
        <w:t>附表1                 雷电防护装置检测单位安全生产标准化得分</w:t>
      </w:r>
    </w:p>
    <w:tbl>
      <w:tblPr>
        <w:tblStyle w:val="TableNormal"/>
        <w:tblW w:w="9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030"/>
        <w:gridCol w:w="1080"/>
        <w:gridCol w:w="2145"/>
        <w:gridCol w:w="2641"/>
      </w:tblGrid>
      <w:tr>
        <w:tblPrEx>
          <w:tblW w:w="9572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核心要求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权重系数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评分细则得分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标准化得分（换算百分制）</w:t>
            </w: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目标职责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制度化管理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培训和资</w:t>
            </w:r>
            <w:r>
              <w:rPr>
                <w:rFonts w:ascii="仿宋_GB2312" w:eastAsia="仿宋_GB2312" w:hAnsi="仿宋_GB2312" w:cs="仿宋_GB2312" w:hint="eastAsia"/>
                <w:szCs w:val="21"/>
                <w:lang w:eastAsia="zh-CN"/>
              </w:rPr>
              <w:t>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检测人员素质及个人防护装备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0"/>
              <w:widowControl w:val="0"/>
              <w:numPr>
                <w:ilvl w:val="0"/>
                <w:numId w:val="0"/>
              </w:numPr>
              <w:spacing w:before="156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检测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0"/>
              <w:widowControl w:val="0"/>
              <w:numPr>
                <w:ilvl w:val="0"/>
                <w:numId w:val="0"/>
              </w:numPr>
              <w:spacing w:before="156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检测作业现场准备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val="en-US" w:eastAsia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0"/>
              <w:widowControl w:val="0"/>
              <w:numPr>
                <w:ilvl w:val="0"/>
                <w:numId w:val="0"/>
              </w:numPr>
              <w:spacing w:before="156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检测程序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 w:hint="default"/>
                <w:szCs w:val="21"/>
                <w:lang w:val="en-US" w:eastAsia="zh-CN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0"/>
              <w:widowControl w:val="0"/>
              <w:numPr>
                <w:ilvl w:val="0"/>
                <w:numId w:val="0"/>
              </w:numPr>
              <w:spacing w:before="156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防雷检测安全风险处置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0"/>
              <w:widowControl w:val="0"/>
              <w:numPr>
                <w:ilvl w:val="0"/>
                <w:numId w:val="0"/>
              </w:numPr>
              <w:spacing w:before="156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生产安全事故报告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0"/>
              <w:widowControl w:val="0"/>
              <w:numPr>
                <w:ilvl w:val="0"/>
                <w:numId w:val="0"/>
              </w:numPr>
              <w:spacing w:before="156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持续改进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0.05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blPrEx>
          <w:tblW w:w="957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标准化得分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审核（项目组组长）：</w:t>
      </w:r>
      <w:r>
        <w:rPr>
          <w:rFonts w:ascii="仿宋_GB2312" w:eastAsia="仿宋_GB2312" w:hAnsi="仿宋_GB2312" w:cs="仿宋_GB2312"/>
          <w:szCs w:val="21"/>
        </w:rPr>
        <w:t xml:space="preserve">            </w:t>
      </w:r>
    </w:p>
    <w:p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检查（评审）人员：</w:t>
      </w:r>
      <w:r>
        <w:rPr>
          <w:rFonts w:ascii="仿宋_GB2312" w:eastAsia="仿宋_GB2312" w:hAnsi="仿宋_GB2312" w:cs="仿宋_GB2312"/>
          <w:szCs w:val="21"/>
        </w:rPr>
        <w:t xml:space="preserve">         </w:t>
      </w:r>
    </w:p>
    <w:p>
      <w:pPr>
        <w:jc w:val="left"/>
        <w:rPr>
          <w:sz w:val="18"/>
          <w:szCs w:val="18"/>
        </w:rPr>
      </w:pPr>
      <w:r>
        <w:rPr>
          <w:rFonts w:ascii="仿宋_GB2312" w:eastAsia="仿宋_GB2312" w:hAnsi="仿宋_GB2312" w:cs="仿宋_GB2312" w:hint="eastAsia"/>
          <w:szCs w:val="21"/>
        </w:rPr>
        <w:t>检查（评审）评审时间：</w:t>
      </w:r>
      <w:r>
        <w:rPr>
          <w:rFonts w:ascii="仿宋_GB2312" w:eastAsia="仿宋_GB2312" w:hAnsi="仿宋_GB2312" w:cs="仿宋_GB2312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年</w:t>
      </w:r>
      <w:r>
        <w:rPr>
          <w:rFonts w:ascii="仿宋_GB2312" w:eastAsia="仿宋_GB2312" w:hAnsi="仿宋_GB2312" w:cs="仿宋_GB2312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日</w:t>
      </w: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jc w:val="left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sz w:val="18"/>
          <w:szCs w:val="18"/>
        </w:rPr>
      </w:pPr>
    </w:p>
    <w:p>
      <w:pPr>
        <w:pStyle w:val="a18"/>
        <w:numPr>
          <w:ilvl w:val="0"/>
          <w:numId w:val="0"/>
        </w:numPr>
        <w:spacing w:before="156"/>
        <w:jc w:val="both"/>
      </w:pPr>
      <w:bookmarkStart w:id="0" w:name="_Toc2849927"/>
      <w:bookmarkEnd w:id="0"/>
      <w:bookmarkStart w:id="1" w:name="_Toc2849926"/>
      <w:bookmarkEnd w:id="1"/>
      <w:bookmarkStart w:id="2" w:name="_Toc133161606"/>
      <w:bookmarkEnd w:id="2"/>
      <w:bookmarkStart w:id="3" w:name="_Toc133161605"/>
      <w:bookmarkEnd w:id="3"/>
      <w:r>
        <w:rPr>
          <w:rFonts w:hint="eastAsia"/>
          <w:highlight w:val="lightGray"/>
        </w:rPr>
        <w:t>附表2</w:t>
      </w:r>
      <w:r>
        <w:t xml:space="preserve">  </w:t>
      </w:r>
      <w:r>
        <w:rPr>
          <w:rFonts w:hint="eastAsia"/>
        </w:rPr>
        <w:t xml:space="preserve">        雷电防护装置检测单位安全生产标准化等级判定表</w:t>
      </w:r>
    </w:p>
    <w:p>
      <w:pPr>
        <w:pStyle w:val="a"/>
      </w:pPr>
    </w:p>
    <w:tbl>
      <w:tblPr>
        <w:tblStyle w:val="TableNormal"/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5245"/>
      </w:tblGrid>
      <w:tr>
        <w:tblPrEx>
          <w:tblW w:w="0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/>
          <w:jc w:val="center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等级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等级判定指标</w:t>
            </w:r>
          </w:p>
        </w:tc>
      </w:tr>
      <w:tr>
        <w:tblPrEx>
          <w:tblW w:w="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  <w:jc w:val="center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标准化得分</w:t>
            </w:r>
          </w:p>
        </w:tc>
      </w:tr>
      <w:tr>
        <w:tblPrEx>
          <w:tblW w:w="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一级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≥</w:t>
            </w:r>
            <w:r>
              <w:rPr>
                <w:rFonts w:ascii="仿宋_GB2312" w:eastAsia="仿宋_GB2312" w:hAnsi="仿宋_GB2312" w:cs="仿宋_GB2312"/>
                <w:szCs w:val="21"/>
              </w:rPr>
              <w:t>90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</w:tr>
      <w:tr>
        <w:tblPrEx>
          <w:tblW w:w="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二级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≥</w:t>
            </w:r>
            <w:r>
              <w:rPr>
                <w:rFonts w:ascii="仿宋_GB2312" w:eastAsia="仿宋_GB2312" w:hAnsi="仿宋_GB2312" w:cs="仿宋_GB2312"/>
                <w:szCs w:val="21"/>
              </w:rPr>
              <w:t>75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分且</w:t>
            </w:r>
            <w:r>
              <w:rPr>
                <w:rFonts w:ascii="仿宋_GB2312" w:eastAsia="仿宋_GB2312" w:hAnsi="仿宋_GB2312" w:cs="仿宋_GB2312"/>
                <w:szCs w:val="21"/>
              </w:rPr>
              <w:t>&lt;90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</w:tr>
      <w:tr>
        <w:tblPrEx>
          <w:tblW w:w="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三级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≥</w:t>
            </w:r>
            <w:r>
              <w:rPr>
                <w:rFonts w:ascii="仿宋_GB2312" w:eastAsia="仿宋_GB2312" w:hAnsi="仿宋_GB2312" w:cs="仿宋_GB2312"/>
                <w:szCs w:val="21"/>
              </w:rPr>
              <w:t>60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分且</w:t>
            </w:r>
            <w:r>
              <w:rPr>
                <w:rFonts w:ascii="仿宋_GB2312" w:eastAsia="仿宋_GB2312" w:hAnsi="仿宋_GB2312" w:cs="仿宋_GB2312"/>
                <w:szCs w:val="21"/>
              </w:rPr>
              <w:t>&lt;75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</w:tr>
    </w:tbl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  <w:bookmarkStart w:id="4" w:name="_GoBack"/>
      <w:bookmarkEnd w:id="4"/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"/>
        <w:tabs>
          <w:tab w:val="left" w:pos="360"/>
        </w:tabs>
        <w:autoSpaceDE/>
        <w:spacing w:before="156" w:beforeLines="50" w:after="156" w:afterLines="50"/>
        <w:ind w:firstLine="0" w:firstLineChars="0"/>
        <w:rPr>
          <w:rFonts w:hAnsi="Times New Roman" w:cs="Times New Roman"/>
          <w:kern w:val="0"/>
        </w:rPr>
      </w:pPr>
    </w:p>
    <w:p>
      <w:pPr>
        <w:pStyle w:val="a9"/>
        <w:numPr>
          <w:ilvl w:val="0"/>
          <w:numId w:val="6"/>
        </w:numPr>
        <w:shd w:val="clear" w:color="FFFFFF" w:fill="FFFFFF"/>
        <w:tabs>
          <w:tab w:val="clear" w:pos="360"/>
        </w:tabs>
      </w:pPr>
      <w:r>
        <w:br/>
      </w:r>
      <w:bookmarkStart w:id="5" w:name="_Toc142859185"/>
      <w:bookmarkStart w:id="6" w:name="_Toc433732961"/>
      <w:bookmarkStart w:id="7" w:name="_Toc432104131"/>
      <w:r>
        <w:rPr>
          <w:rFonts w:hint="eastAsia"/>
        </w:rPr>
        <w:t>检测人员自身安全防护基本要求</w:t>
      </w:r>
      <w:bookmarkEnd w:id="5"/>
      <w:bookmarkEnd w:id="6"/>
      <w:bookmarkEnd w:id="7"/>
    </w:p>
    <w:p>
      <w:pPr>
        <w:snapToGrid w:val="0"/>
        <w:spacing w:before="312" w:beforeLines="100" w:after="312" w:afterLines="100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A.1  安全帽防护要求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A.1.1  </w:t>
      </w:r>
      <w:r>
        <w:rPr>
          <w:rFonts w:ascii="Calibri" w:hAnsi="Calibri" w:hint="eastAsia"/>
          <w:szCs w:val="22"/>
        </w:rPr>
        <w:t>佩戴的安全帽应符合</w:t>
      </w:r>
      <w:r>
        <w:rPr>
          <w:rFonts w:ascii="宋体" w:hAnsi="宋体" w:hint="eastAsia"/>
          <w:szCs w:val="22"/>
        </w:rPr>
        <w:t>GB 2811—2016第4章</w:t>
      </w:r>
      <w:r>
        <w:rPr>
          <w:rFonts w:ascii="Calibri" w:hAnsi="Calibri" w:hint="eastAsia"/>
          <w:szCs w:val="22"/>
        </w:rPr>
        <w:t>要求。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A.1.2  </w:t>
      </w:r>
      <w:r>
        <w:rPr>
          <w:rFonts w:ascii="Calibri" w:hAnsi="Calibri" w:hint="eastAsia"/>
          <w:szCs w:val="22"/>
        </w:rPr>
        <w:t>佩戴前应检查是否超过使用期限；检查帽顶、帽衬是否有破损和裂痕；检查下颏带是否完好。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A.1.3  </w:t>
      </w:r>
      <w:r>
        <w:rPr>
          <w:rFonts w:ascii="Calibri" w:hAnsi="Calibri" w:hint="eastAsia"/>
          <w:szCs w:val="22"/>
        </w:rPr>
        <w:t>安全帽应戴正，不应斜戴、歪戴；应调节好后箍，系紧下颏带，防止晃动和脱落；佩戴时应将长发放进帽衬内。</w:t>
      </w:r>
    </w:p>
    <w:p>
      <w:pPr>
        <w:snapToGrid w:val="0"/>
        <w:spacing w:before="312" w:beforeLines="100" w:after="312" w:afterLines="100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A.2  安全带防护要求</w:t>
      </w:r>
    </w:p>
    <w:p>
      <w:pPr>
        <w:rPr>
          <w:rFonts w:ascii="宋体" w:hAnsi="宋体"/>
          <w:szCs w:val="22"/>
        </w:rPr>
      </w:pPr>
      <w:r>
        <w:rPr>
          <w:rFonts w:ascii="黑体" w:eastAsia="黑体" w:hAnsi="黑体" w:hint="eastAsia"/>
          <w:szCs w:val="22"/>
        </w:rPr>
        <w:t xml:space="preserve">A.2.1  </w:t>
      </w:r>
      <w:r>
        <w:rPr>
          <w:rFonts w:ascii="宋体" w:hAnsi="宋体" w:hint="eastAsia"/>
          <w:szCs w:val="22"/>
        </w:rPr>
        <w:t>穿戴的安全带应符合GB 6095—2009第5章要求。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A.2.2  </w:t>
      </w:r>
      <w:r>
        <w:rPr>
          <w:rFonts w:ascii="Calibri" w:hAnsi="Calibri" w:hint="eastAsia"/>
          <w:szCs w:val="22"/>
        </w:rPr>
        <w:t>穿戴前先检查安全带有无双保险、有无破损现象、有无实验合格标签及标签是否在有效期内。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A.2.3  </w:t>
      </w:r>
      <w:r>
        <w:rPr>
          <w:rFonts w:ascii="Calibri" w:hAnsi="Calibri" w:hint="eastAsia"/>
          <w:szCs w:val="22"/>
        </w:rPr>
        <w:t>使用安全带时，安全带应挂在结实牢固的构件上，不应系挂在移动物体上，同时应采用高挂低用方式。在高处危险场所作业需要转位时，不应解除安全带保护。</w:t>
      </w:r>
    </w:p>
    <w:p>
      <w:pPr>
        <w:snapToGrid w:val="0"/>
        <w:spacing w:before="312" w:beforeLines="100" w:after="312" w:afterLines="100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A.3  衣服和鞋子等要求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A.3.1 </w:t>
      </w:r>
      <w:r>
        <w:rPr>
          <w:rFonts w:ascii="Calibri" w:hAnsi="Calibri" w:hint="eastAsia"/>
          <w:szCs w:val="22"/>
        </w:rPr>
        <w:t xml:space="preserve"> 宜穿长衣、长裤，穿戴整齐，系好衣扣或拉链，不应穿背心、短裤、裙子等进入现场。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A.3.2 </w:t>
      </w:r>
      <w:r>
        <w:rPr>
          <w:rFonts w:ascii="Calibri" w:hAnsi="Calibri" w:hint="eastAsia"/>
          <w:szCs w:val="22"/>
        </w:rPr>
        <w:t xml:space="preserve"> 在有车辆穿过的场所检测作业时应穿反光背心。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A.3.3 </w:t>
      </w:r>
      <w:r>
        <w:rPr>
          <w:rFonts w:ascii="Calibri" w:hAnsi="Calibri" w:hint="eastAsia"/>
          <w:szCs w:val="22"/>
        </w:rPr>
        <w:t xml:space="preserve"> 应穿带盖、带帮、防滑的绝缘鞋，不应穿拖鞋、凉鞋、高跟鞋、钉鞋等进入现场。在新建施工场所时应穿防砸、防刺穿的绝缘鞋。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A.3.4 </w:t>
      </w:r>
      <w:r>
        <w:rPr>
          <w:rFonts w:ascii="Calibri" w:hAnsi="Calibri" w:hint="eastAsia"/>
          <w:szCs w:val="22"/>
        </w:rPr>
        <w:t xml:space="preserve"> 进入爆炸和火灾危险场所时应一直穿防静电服、绝缘鞋，佩戴防静电帽、防静电手套。</w:t>
      </w:r>
    </w:p>
    <w:p>
      <w:pPr>
        <w:rPr>
          <w:rFonts w:ascii="Calibri" w:hAnsi="Calibri"/>
          <w:szCs w:val="22"/>
        </w:rPr>
      </w:pPr>
      <w:r>
        <w:rPr>
          <w:rFonts w:ascii="黑体" w:eastAsia="黑体" w:hAnsi="黑体" w:hint="eastAsia"/>
          <w:szCs w:val="22"/>
        </w:rPr>
        <w:t xml:space="preserve">A.3.5 </w:t>
      </w:r>
      <w:r>
        <w:rPr>
          <w:rFonts w:ascii="Calibri" w:hAnsi="Calibri" w:hint="eastAsia"/>
          <w:szCs w:val="22"/>
        </w:rPr>
        <w:t>现场噪音太大影响检测作业安全或检测人员难以忍受时，应佩戴防护耳塞或耳罩、防噪声帽或采取隔离措施。</w:t>
      </w:r>
    </w:p>
    <w:p>
      <w:r>
        <w:rPr>
          <w:rFonts w:ascii="黑体" w:eastAsia="黑体" w:hAnsi="黑体" w:hint="eastAsia"/>
          <w:szCs w:val="22"/>
        </w:rPr>
        <w:t>A.3.6</w:t>
      </w:r>
      <w:r>
        <w:rPr>
          <w:rFonts w:hint="eastAsia"/>
        </w:rPr>
        <w:t>进入存在灰尘、飞溅物等对眼睛存在伤害场所应佩戴护目镜或面罩。</w:t>
      </w:r>
    </w:p>
    <w:p>
      <w:r>
        <w:rPr>
          <w:rFonts w:ascii="黑体" w:eastAsia="黑体" w:hAnsi="黑体" w:hint="eastAsia"/>
          <w:szCs w:val="22"/>
        </w:rPr>
        <w:t>A.3.7</w:t>
      </w:r>
      <w:r>
        <w:rPr>
          <w:rFonts w:hint="eastAsia"/>
        </w:rPr>
        <w:t>进入存在有毒气体、颗粒物或有害气体的环境中，使用适当的呼吸防护装备，如口罩、面具等呼吸防护装备。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C91163"/>
    <w:multiLevelType w:val="multilevel"/>
    <w:tmpl w:val="1FC91163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2C5917C3"/>
    <w:multiLevelType w:val="multilevel"/>
    <w:tmpl w:val="2C5917C3"/>
    <w:lvl w:ilvl="0">
      <w:start w:val="1"/>
      <w:numFmt w:val="none"/>
      <w:pStyle w:val="a3"/>
      <w:suff w:val="nothing"/>
      <w:lvlText w:val="%1——"/>
      <w:lvlJc w:val="left"/>
      <w:pPr>
        <w:ind w:left="834" w:hanging="408"/>
      </w:pPr>
      <w:rPr>
        <w:lang w:val="en-US"/>
      </w:rPr>
    </w:lvl>
    <w:lvl w:ilvl="1">
      <w:start w:val="1"/>
      <w:numFmt w:val="bullet"/>
      <w:pStyle w:val="a4"/>
      <w:lvlText w:val=""/>
      <w:lvlJc w:val="left"/>
      <w:pPr>
        <w:tabs>
          <w:tab w:val="left" w:pos="618"/>
        </w:tabs>
        <w:ind w:left="1122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8"/>
      <w:lvlText w:val=""/>
      <w:lvlJc w:val="left"/>
      <w:pPr>
        <w:tabs>
          <w:tab w:val="left" w:pos="1536"/>
        </w:tabs>
        <w:ind w:left="1536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1929"/>
        </w:tabs>
        <w:ind w:left="1742" w:hanging="528"/>
      </w:pPr>
    </w:lvl>
    <w:lvl w:ilvl="4">
      <w:start w:val="1"/>
      <w:numFmt w:val="lowerLetter"/>
      <w:lvlText w:val="%5)"/>
      <w:lvlJc w:val="left"/>
      <w:pPr>
        <w:tabs>
          <w:tab w:val="left" w:pos="2241"/>
        </w:tabs>
        <w:ind w:left="2054" w:hanging="528"/>
      </w:pPr>
    </w:lvl>
    <w:lvl w:ilvl="5">
      <w:start w:val="1"/>
      <w:numFmt w:val="lowerRoman"/>
      <w:lvlText w:val="%6."/>
      <w:lvlJc w:val="right"/>
      <w:pPr>
        <w:tabs>
          <w:tab w:val="left" w:pos="2553"/>
        </w:tabs>
        <w:ind w:left="2366" w:hanging="528"/>
      </w:pPr>
    </w:lvl>
    <w:lvl w:ilvl="6">
      <w:start w:val="1"/>
      <w:numFmt w:val="decimal"/>
      <w:lvlText w:val="%7."/>
      <w:lvlJc w:val="left"/>
      <w:pPr>
        <w:tabs>
          <w:tab w:val="left" w:pos="2865"/>
        </w:tabs>
        <w:ind w:left="2678" w:hanging="528"/>
      </w:pPr>
    </w:lvl>
    <w:lvl w:ilvl="7">
      <w:start w:val="1"/>
      <w:numFmt w:val="lowerLetter"/>
      <w:lvlText w:val="%8)"/>
      <w:lvlJc w:val="left"/>
      <w:pPr>
        <w:tabs>
          <w:tab w:val="left" w:pos="3177"/>
        </w:tabs>
        <w:ind w:left="2990" w:hanging="528"/>
      </w:pPr>
    </w:lvl>
    <w:lvl w:ilvl="8">
      <w:start w:val="1"/>
      <w:numFmt w:val="lowerRoman"/>
      <w:lvlText w:val="%9."/>
      <w:lvlJc w:val="right"/>
      <w:pPr>
        <w:tabs>
          <w:tab w:val="left" w:pos="3489"/>
        </w:tabs>
        <w:ind w:left="3302" w:hanging="528"/>
      </w:pPr>
    </w:lvl>
  </w:abstractNum>
  <w:abstractNum w:abstractNumId="2">
    <w:nsid w:val="60B55DC2"/>
    <w:multiLevelType w:val="multilevel"/>
    <w:tmpl w:val="60B55DC2"/>
    <w:lvl w:ilvl="0">
      <w:start w:val="1"/>
      <w:numFmt w:val="upperLetter"/>
      <w:pStyle w:val="a10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pStyle w:val="a11"/>
      <w:suff w:val="nothing"/>
      <w:lvlText w:val="表%1.%2　"/>
      <w:lvlJc w:val="left"/>
      <w:pPr>
        <w:ind w:left="2694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3">
    <w:nsid w:val="646260FA"/>
    <w:multiLevelType w:val="multilevel"/>
    <w:tmpl w:val="646260FA"/>
    <w:lvl w:ilvl="0">
      <w:start w:val="1"/>
      <w:numFmt w:val="decimal"/>
      <w:pStyle w:val="a1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4">
    <w:nsid w:val="657D3FBC"/>
    <w:multiLevelType w:val="multilevel"/>
    <w:tmpl w:val="657D3FBC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16"/>
      <w:suff w:val="nothing"/>
      <w:lvlText w:val="%1.%2　"/>
      <w:lvlJc w:val="left"/>
      <w:pPr>
        <w:ind w:left="3828" w:firstLine="0"/>
      </w:pPr>
      <w:rPr>
        <w:rFonts w:ascii="宋体" w:eastAsia="宋体" w:hAnsi="宋体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pStyle w:val="a1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1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8B"/>
    <w:rsid w:val="82E35F54"/>
    <w:rsid w:val="8D6B8D45"/>
    <w:rsid w:val="91F78EBE"/>
    <w:rsid w:val="95DFF08F"/>
    <w:rsid w:val="995E0D75"/>
    <w:rsid w:val="99FAF981"/>
    <w:rsid w:val="9A7E3A79"/>
    <w:rsid w:val="9AF1EFB1"/>
    <w:rsid w:val="9BF7B9C9"/>
    <w:rsid w:val="9D735B6D"/>
    <w:rsid w:val="9DEF0CC1"/>
    <w:rsid w:val="9DFEB794"/>
    <w:rsid w:val="9DFFACF3"/>
    <w:rsid w:val="9E7F4727"/>
    <w:rsid w:val="9EEF053F"/>
    <w:rsid w:val="9F16121E"/>
    <w:rsid w:val="9F794E47"/>
    <w:rsid w:val="9FB711C6"/>
    <w:rsid w:val="A6F7B4AE"/>
    <w:rsid w:val="A78E0B63"/>
    <w:rsid w:val="A7E985F7"/>
    <w:rsid w:val="A7F6A8BC"/>
    <w:rsid w:val="A7FFBEB7"/>
    <w:rsid w:val="A974D0E1"/>
    <w:rsid w:val="ADFF8CDD"/>
    <w:rsid w:val="AE5E9A80"/>
    <w:rsid w:val="AEB9459F"/>
    <w:rsid w:val="AFAF723B"/>
    <w:rsid w:val="AFE13E59"/>
    <w:rsid w:val="AFEF2EBA"/>
    <w:rsid w:val="AFF706F7"/>
    <w:rsid w:val="B1EF796F"/>
    <w:rsid w:val="B3BA97DA"/>
    <w:rsid w:val="B3C66882"/>
    <w:rsid w:val="B4F7B87D"/>
    <w:rsid w:val="B51DFAC1"/>
    <w:rsid w:val="B53F5033"/>
    <w:rsid w:val="B546CAA7"/>
    <w:rsid w:val="B5D7B9FF"/>
    <w:rsid w:val="B5ED1C8B"/>
    <w:rsid w:val="B5F7C919"/>
    <w:rsid w:val="B60D7783"/>
    <w:rsid w:val="B6F9FDB3"/>
    <w:rsid w:val="B7B637EB"/>
    <w:rsid w:val="B7DF1E38"/>
    <w:rsid w:val="B7FD93E6"/>
    <w:rsid w:val="B8AEDF9D"/>
    <w:rsid w:val="B977BDD9"/>
    <w:rsid w:val="BA7F2C6D"/>
    <w:rsid w:val="BAA6C793"/>
    <w:rsid w:val="BACED7EE"/>
    <w:rsid w:val="BAFADCC3"/>
    <w:rsid w:val="BB6FEBDA"/>
    <w:rsid w:val="BB9DCED9"/>
    <w:rsid w:val="BBFC93BE"/>
    <w:rsid w:val="BBFCE649"/>
    <w:rsid w:val="BC8EE18C"/>
    <w:rsid w:val="BD162D3A"/>
    <w:rsid w:val="BD5FFC86"/>
    <w:rsid w:val="BD73C51D"/>
    <w:rsid w:val="BD770188"/>
    <w:rsid w:val="BDDB7E82"/>
    <w:rsid w:val="BDDF6BEA"/>
    <w:rsid w:val="BDEF5851"/>
    <w:rsid w:val="BE7E0D22"/>
    <w:rsid w:val="BE7F163A"/>
    <w:rsid w:val="BE9E0011"/>
    <w:rsid w:val="BEBF51E9"/>
    <w:rsid w:val="BEBFBAD5"/>
    <w:rsid w:val="BEFA6385"/>
    <w:rsid w:val="BF1D664F"/>
    <w:rsid w:val="BF6E80F9"/>
    <w:rsid w:val="BF6FD3A7"/>
    <w:rsid w:val="BF755FE8"/>
    <w:rsid w:val="BF7D0B3F"/>
    <w:rsid w:val="BF7D347E"/>
    <w:rsid w:val="BF7DA27C"/>
    <w:rsid w:val="BF8FFF6C"/>
    <w:rsid w:val="BF9F26BC"/>
    <w:rsid w:val="BFD54E0F"/>
    <w:rsid w:val="BFD7604B"/>
    <w:rsid w:val="BFDF6CAF"/>
    <w:rsid w:val="BFDFDD89"/>
    <w:rsid w:val="BFF1DDBC"/>
    <w:rsid w:val="BFF7112C"/>
    <w:rsid w:val="BFF7538F"/>
    <w:rsid w:val="BFFAE265"/>
    <w:rsid w:val="BFFD2250"/>
    <w:rsid w:val="BFFF2150"/>
    <w:rsid w:val="BFFF76C0"/>
    <w:rsid w:val="BFFFC75B"/>
    <w:rsid w:val="BFFFEF8A"/>
    <w:rsid w:val="BFFFF5E0"/>
    <w:rsid w:val="C1FDB7CF"/>
    <w:rsid w:val="C3F75FA8"/>
    <w:rsid w:val="C3FF4442"/>
    <w:rsid w:val="C5BEA828"/>
    <w:rsid w:val="C5CF00BD"/>
    <w:rsid w:val="C5EF7336"/>
    <w:rsid w:val="C67B6CFD"/>
    <w:rsid w:val="C6E77533"/>
    <w:rsid w:val="C7DECEF4"/>
    <w:rsid w:val="CB5F8762"/>
    <w:rsid w:val="CBBDDFB8"/>
    <w:rsid w:val="CBFE510C"/>
    <w:rsid w:val="CCFDCECC"/>
    <w:rsid w:val="CF3F2B05"/>
    <w:rsid w:val="CF670264"/>
    <w:rsid w:val="CF7F9DF9"/>
    <w:rsid w:val="CFBFA6B9"/>
    <w:rsid w:val="CFBFEC07"/>
    <w:rsid w:val="CFE7C86C"/>
    <w:rsid w:val="CFEFDA68"/>
    <w:rsid w:val="CFFDB5B1"/>
    <w:rsid w:val="CFFF8E28"/>
    <w:rsid w:val="D3DFDA91"/>
    <w:rsid w:val="D3F974FF"/>
    <w:rsid w:val="D4659B3A"/>
    <w:rsid w:val="D5EFCC11"/>
    <w:rsid w:val="D5FD2C90"/>
    <w:rsid w:val="D5FF6982"/>
    <w:rsid w:val="D6DE2D9C"/>
    <w:rsid w:val="D75DAAC1"/>
    <w:rsid w:val="D76B5282"/>
    <w:rsid w:val="D77B5004"/>
    <w:rsid w:val="D7B715F1"/>
    <w:rsid w:val="D7BFF8DE"/>
    <w:rsid w:val="D7D69996"/>
    <w:rsid w:val="D7EF3466"/>
    <w:rsid w:val="D7EF8D25"/>
    <w:rsid w:val="D7FF2FD4"/>
    <w:rsid w:val="D8BD2E8F"/>
    <w:rsid w:val="DA7B4A5E"/>
    <w:rsid w:val="DB7EA177"/>
    <w:rsid w:val="DB7F7BDF"/>
    <w:rsid w:val="DBBFE889"/>
    <w:rsid w:val="DBCE236E"/>
    <w:rsid w:val="DBDF5090"/>
    <w:rsid w:val="DBED270B"/>
    <w:rsid w:val="DBEF94B5"/>
    <w:rsid w:val="DBFFDDAA"/>
    <w:rsid w:val="DCB9D8A8"/>
    <w:rsid w:val="DCF7E55C"/>
    <w:rsid w:val="DCFCFCB3"/>
    <w:rsid w:val="DCFDB7E1"/>
    <w:rsid w:val="DD7F4783"/>
    <w:rsid w:val="DD9F9E06"/>
    <w:rsid w:val="DDBB5A86"/>
    <w:rsid w:val="DDBE103A"/>
    <w:rsid w:val="DDCDDD29"/>
    <w:rsid w:val="DDCFDF45"/>
    <w:rsid w:val="DDFFF6CF"/>
    <w:rsid w:val="DEB9C908"/>
    <w:rsid w:val="DEBBDF57"/>
    <w:rsid w:val="DEBF97E4"/>
    <w:rsid w:val="DEEF7865"/>
    <w:rsid w:val="DEEF862E"/>
    <w:rsid w:val="DEFF1AD3"/>
    <w:rsid w:val="DF578DCE"/>
    <w:rsid w:val="DF5F5CFF"/>
    <w:rsid w:val="DF5FCAF0"/>
    <w:rsid w:val="DF7656E7"/>
    <w:rsid w:val="DF76AAF0"/>
    <w:rsid w:val="DFA7FFBF"/>
    <w:rsid w:val="DFAF3FBD"/>
    <w:rsid w:val="DFD3A387"/>
    <w:rsid w:val="DFE7CD18"/>
    <w:rsid w:val="DFF50C07"/>
    <w:rsid w:val="DFF74784"/>
    <w:rsid w:val="DFF795E2"/>
    <w:rsid w:val="DFF81473"/>
    <w:rsid w:val="DFFADD68"/>
    <w:rsid w:val="DFFFDF39"/>
    <w:rsid w:val="E06E4210"/>
    <w:rsid w:val="E1960E7D"/>
    <w:rsid w:val="E3AAB32F"/>
    <w:rsid w:val="E3ED6A50"/>
    <w:rsid w:val="E437D020"/>
    <w:rsid w:val="E4D8B3FC"/>
    <w:rsid w:val="E5633451"/>
    <w:rsid w:val="E5B6C720"/>
    <w:rsid w:val="E5FED8D0"/>
    <w:rsid w:val="E674B519"/>
    <w:rsid w:val="E6AB0318"/>
    <w:rsid w:val="E76F86F3"/>
    <w:rsid w:val="E7DD13C9"/>
    <w:rsid w:val="E7FF99F1"/>
    <w:rsid w:val="E87F98D8"/>
    <w:rsid w:val="EBD940B5"/>
    <w:rsid w:val="EBDF17CD"/>
    <w:rsid w:val="EBED1253"/>
    <w:rsid w:val="EBEF6C6D"/>
    <w:rsid w:val="EBF74CB1"/>
    <w:rsid w:val="EBF7EC47"/>
    <w:rsid w:val="EBFEFB49"/>
    <w:rsid w:val="EBFF9D2A"/>
    <w:rsid w:val="EC7FBF49"/>
    <w:rsid w:val="ED4F31A2"/>
    <w:rsid w:val="ED67A65A"/>
    <w:rsid w:val="ED6C8C99"/>
    <w:rsid w:val="ED7F0B8F"/>
    <w:rsid w:val="EDB7A36F"/>
    <w:rsid w:val="EDBFF762"/>
    <w:rsid w:val="EDCFA1C6"/>
    <w:rsid w:val="EDD3AF9C"/>
    <w:rsid w:val="EDF55ACE"/>
    <w:rsid w:val="EDF779BE"/>
    <w:rsid w:val="EDFEDCF7"/>
    <w:rsid w:val="EE2B0E2F"/>
    <w:rsid w:val="EE755FDD"/>
    <w:rsid w:val="EE7F4C88"/>
    <w:rsid w:val="EEB68A3F"/>
    <w:rsid w:val="EEBB09CD"/>
    <w:rsid w:val="EEED6A80"/>
    <w:rsid w:val="EF0B5141"/>
    <w:rsid w:val="EF1DA74E"/>
    <w:rsid w:val="EF33E24E"/>
    <w:rsid w:val="EF5E69F0"/>
    <w:rsid w:val="EFB6A413"/>
    <w:rsid w:val="EFB935F6"/>
    <w:rsid w:val="EFBB80D7"/>
    <w:rsid w:val="EFC7A22E"/>
    <w:rsid w:val="EFEF1E02"/>
    <w:rsid w:val="EFEF26A1"/>
    <w:rsid w:val="EFEF604F"/>
    <w:rsid w:val="EFF2CCF6"/>
    <w:rsid w:val="EFF6D0C0"/>
    <w:rsid w:val="EFF7D5F9"/>
    <w:rsid w:val="EFFB137E"/>
    <w:rsid w:val="EFFD99EB"/>
    <w:rsid w:val="EFFF6450"/>
    <w:rsid w:val="F2797A8E"/>
    <w:rsid w:val="F27F54F4"/>
    <w:rsid w:val="F2FF3660"/>
    <w:rsid w:val="F35DF646"/>
    <w:rsid w:val="F36D2F93"/>
    <w:rsid w:val="F36E4649"/>
    <w:rsid w:val="F3ECCA2F"/>
    <w:rsid w:val="F3F62782"/>
    <w:rsid w:val="F3FF7A56"/>
    <w:rsid w:val="F4DBBA47"/>
    <w:rsid w:val="F4DDB9E4"/>
    <w:rsid w:val="F4EE4C47"/>
    <w:rsid w:val="F55F55E3"/>
    <w:rsid w:val="F5801CED"/>
    <w:rsid w:val="F5DBC6A9"/>
    <w:rsid w:val="F5FFE326"/>
    <w:rsid w:val="F6FB6C1B"/>
    <w:rsid w:val="F6FE284D"/>
    <w:rsid w:val="F73DD6C4"/>
    <w:rsid w:val="F7771CD1"/>
    <w:rsid w:val="F77F0944"/>
    <w:rsid w:val="F77F67A6"/>
    <w:rsid w:val="F7979E33"/>
    <w:rsid w:val="F7A025F1"/>
    <w:rsid w:val="F7A7CBC8"/>
    <w:rsid w:val="F7B5FE42"/>
    <w:rsid w:val="F7CB2751"/>
    <w:rsid w:val="F7CB344D"/>
    <w:rsid w:val="F7D5BCC8"/>
    <w:rsid w:val="F7DF3039"/>
    <w:rsid w:val="F7DF65CA"/>
    <w:rsid w:val="F7FE4B0F"/>
    <w:rsid w:val="F7FF7D94"/>
    <w:rsid w:val="F7FF8159"/>
    <w:rsid w:val="F7FF9074"/>
    <w:rsid w:val="F86F7C30"/>
    <w:rsid w:val="F8F71832"/>
    <w:rsid w:val="F8F9D5F7"/>
    <w:rsid w:val="F93E4200"/>
    <w:rsid w:val="F979F82F"/>
    <w:rsid w:val="F9E0B716"/>
    <w:rsid w:val="F9EB67B3"/>
    <w:rsid w:val="F9F345A6"/>
    <w:rsid w:val="F9FF1601"/>
    <w:rsid w:val="FA1FA0FF"/>
    <w:rsid w:val="FABA5DC5"/>
    <w:rsid w:val="FADFFBEC"/>
    <w:rsid w:val="FB745232"/>
    <w:rsid w:val="FB76B4F4"/>
    <w:rsid w:val="FB7DA82C"/>
    <w:rsid w:val="FB96FCAF"/>
    <w:rsid w:val="FB9F4CD6"/>
    <w:rsid w:val="FBBF4335"/>
    <w:rsid w:val="FBBF51C1"/>
    <w:rsid w:val="FBCD6A8F"/>
    <w:rsid w:val="FBDB69D4"/>
    <w:rsid w:val="FBDCC8CB"/>
    <w:rsid w:val="FBEBCBDB"/>
    <w:rsid w:val="FBEF095D"/>
    <w:rsid w:val="FBEF314C"/>
    <w:rsid w:val="FBEFD882"/>
    <w:rsid w:val="FBF528F4"/>
    <w:rsid w:val="FBF71C83"/>
    <w:rsid w:val="FBF7C29C"/>
    <w:rsid w:val="FBFF9DD7"/>
    <w:rsid w:val="FBFFAA8E"/>
    <w:rsid w:val="FC7FAF36"/>
    <w:rsid w:val="FC97E0D8"/>
    <w:rsid w:val="FCD743A9"/>
    <w:rsid w:val="FCFF3A25"/>
    <w:rsid w:val="FCFFF3A0"/>
    <w:rsid w:val="FD1E8F53"/>
    <w:rsid w:val="FD39DC16"/>
    <w:rsid w:val="FD3F5DEA"/>
    <w:rsid w:val="FD47B12C"/>
    <w:rsid w:val="FD5DB913"/>
    <w:rsid w:val="FD7F5AB5"/>
    <w:rsid w:val="FD8DD0B5"/>
    <w:rsid w:val="FDB5522B"/>
    <w:rsid w:val="FDB73C8D"/>
    <w:rsid w:val="FDB8C98F"/>
    <w:rsid w:val="FDBA585B"/>
    <w:rsid w:val="FDBD49D9"/>
    <w:rsid w:val="FDBFDA11"/>
    <w:rsid w:val="FDDFB549"/>
    <w:rsid w:val="FDEC52B4"/>
    <w:rsid w:val="FDEDABC6"/>
    <w:rsid w:val="FDEE9984"/>
    <w:rsid w:val="FDEF45AD"/>
    <w:rsid w:val="FDF540A4"/>
    <w:rsid w:val="FDF724D0"/>
    <w:rsid w:val="FDF94E1B"/>
    <w:rsid w:val="FDFD90AE"/>
    <w:rsid w:val="FDFE9183"/>
    <w:rsid w:val="FDFE941F"/>
    <w:rsid w:val="FDFF33DB"/>
    <w:rsid w:val="FE16D5EF"/>
    <w:rsid w:val="FE5FBFB8"/>
    <w:rsid w:val="FE6F48CC"/>
    <w:rsid w:val="FE7748D7"/>
    <w:rsid w:val="FE78CDA5"/>
    <w:rsid w:val="FE7F07B4"/>
    <w:rsid w:val="FE7F5A47"/>
    <w:rsid w:val="FE7F7E8C"/>
    <w:rsid w:val="FEAFE2BF"/>
    <w:rsid w:val="FED8F139"/>
    <w:rsid w:val="FEEFEF62"/>
    <w:rsid w:val="FEF7EFBB"/>
    <w:rsid w:val="FEFB1CEB"/>
    <w:rsid w:val="FEFB576E"/>
    <w:rsid w:val="FEFF8BE7"/>
    <w:rsid w:val="FF27CEA3"/>
    <w:rsid w:val="FF3D8D2C"/>
    <w:rsid w:val="FF3FB6FA"/>
    <w:rsid w:val="FF5F2747"/>
    <w:rsid w:val="FF670248"/>
    <w:rsid w:val="FF6E5534"/>
    <w:rsid w:val="FF6F1493"/>
    <w:rsid w:val="FF770BB2"/>
    <w:rsid w:val="FF7F3650"/>
    <w:rsid w:val="FF7FCBD3"/>
    <w:rsid w:val="FF8D9632"/>
    <w:rsid w:val="FF9D8278"/>
    <w:rsid w:val="FFA7647C"/>
    <w:rsid w:val="FFA79228"/>
    <w:rsid w:val="FFAF015B"/>
    <w:rsid w:val="FFAF3BB8"/>
    <w:rsid w:val="FFAF44FE"/>
    <w:rsid w:val="FFBB35E7"/>
    <w:rsid w:val="FFBD1A81"/>
    <w:rsid w:val="FFBE861F"/>
    <w:rsid w:val="FFBF8E84"/>
    <w:rsid w:val="FFBFACBC"/>
    <w:rsid w:val="FFC7B87A"/>
    <w:rsid w:val="FFCF2349"/>
    <w:rsid w:val="FFD281D6"/>
    <w:rsid w:val="FFD6EEA6"/>
    <w:rsid w:val="FFD7C5AE"/>
    <w:rsid w:val="FFDA67F2"/>
    <w:rsid w:val="FFDE044E"/>
    <w:rsid w:val="FFDFBD38"/>
    <w:rsid w:val="FFE8D0D3"/>
    <w:rsid w:val="FFECFE45"/>
    <w:rsid w:val="FFED29F1"/>
    <w:rsid w:val="FFEE9EC9"/>
    <w:rsid w:val="FFF32476"/>
    <w:rsid w:val="FFF3260F"/>
    <w:rsid w:val="FFF4753D"/>
    <w:rsid w:val="FFF55F4D"/>
    <w:rsid w:val="FFF5F543"/>
    <w:rsid w:val="FFF60BE4"/>
    <w:rsid w:val="FFF68611"/>
    <w:rsid w:val="FFF6C024"/>
    <w:rsid w:val="FFF7021D"/>
    <w:rsid w:val="FFF75F25"/>
    <w:rsid w:val="FFF782B7"/>
    <w:rsid w:val="FFF7A059"/>
    <w:rsid w:val="FFF7D696"/>
    <w:rsid w:val="FFF953C8"/>
    <w:rsid w:val="FFF95D95"/>
    <w:rsid w:val="FFFB9B2A"/>
    <w:rsid w:val="FFFBFE84"/>
    <w:rsid w:val="FFFD59CE"/>
    <w:rsid w:val="FFFE081F"/>
    <w:rsid w:val="FFFE222E"/>
    <w:rsid w:val="FFFE95E3"/>
    <w:rsid w:val="FFFEDEA0"/>
    <w:rsid w:val="FFFF0B63"/>
    <w:rsid w:val="FFFF1686"/>
    <w:rsid w:val="FFFF3B14"/>
    <w:rsid w:val="FFFF3D94"/>
    <w:rsid w:val="FFFF5E0F"/>
    <w:rsid w:val="FFFF668F"/>
    <w:rsid w:val="FFFF918F"/>
    <w:rsid w:val="FFFFA482"/>
    <w:rsid w:val="FFFFA940"/>
    <w:rsid w:val="FFFFCDF0"/>
    <w:rsid w:val="FFFFDD8C"/>
    <w:rsid w:val="00021AF4"/>
    <w:rsid w:val="00242024"/>
    <w:rsid w:val="00294F29"/>
    <w:rsid w:val="00404D3D"/>
    <w:rsid w:val="00476CFB"/>
    <w:rsid w:val="00581F78"/>
    <w:rsid w:val="00665CAA"/>
    <w:rsid w:val="00827C8B"/>
    <w:rsid w:val="00863FB7"/>
    <w:rsid w:val="008A10E9"/>
    <w:rsid w:val="00900A0C"/>
    <w:rsid w:val="00A43C91"/>
    <w:rsid w:val="00BC5905"/>
    <w:rsid w:val="00CE076A"/>
    <w:rsid w:val="00E15AAC"/>
    <w:rsid w:val="00E76D45"/>
    <w:rsid w:val="00EA26D3"/>
    <w:rsid w:val="00FC4582"/>
    <w:rsid w:val="05DF3892"/>
    <w:rsid w:val="09FB8989"/>
    <w:rsid w:val="0B6779A1"/>
    <w:rsid w:val="0DABE669"/>
    <w:rsid w:val="0DCE0191"/>
    <w:rsid w:val="0E5C22DF"/>
    <w:rsid w:val="0E93BFC0"/>
    <w:rsid w:val="0EAF6292"/>
    <w:rsid w:val="117D7606"/>
    <w:rsid w:val="156F2CC4"/>
    <w:rsid w:val="16F179DE"/>
    <w:rsid w:val="177FACDC"/>
    <w:rsid w:val="17CBE70E"/>
    <w:rsid w:val="17F719FA"/>
    <w:rsid w:val="185E0831"/>
    <w:rsid w:val="19D61C72"/>
    <w:rsid w:val="19FE6900"/>
    <w:rsid w:val="1ABB6A82"/>
    <w:rsid w:val="1ABBAE68"/>
    <w:rsid w:val="1AE22D0F"/>
    <w:rsid w:val="1B50A41C"/>
    <w:rsid w:val="1B6D211C"/>
    <w:rsid w:val="1BBE0ED9"/>
    <w:rsid w:val="1BFD6B8F"/>
    <w:rsid w:val="1C3FAFFD"/>
    <w:rsid w:val="1D2B3F7F"/>
    <w:rsid w:val="1DBF5778"/>
    <w:rsid w:val="1EF9D746"/>
    <w:rsid w:val="1F7F801B"/>
    <w:rsid w:val="1F7FF26E"/>
    <w:rsid w:val="1FAD3E83"/>
    <w:rsid w:val="1FAEFADE"/>
    <w:rsid w:val="1FC7B00E"/>
    <w:rsid w:val="1FD3668C"/>
    <w:rsid w:val="1FE98AAD"/>
    <w:rsid w:val="1FF45A82"/>
    <w:rsid w:val="1FF98C68"/>
    <w:rsid w:val="1FFF885E"/>
    <w:rsid w:val="1FFFF187"/>
    <w:rsid w:val="215DFD61"/>
    <w:rsid w:val="21FF269C"/>
    <w:rsid w:val="24EFC8D7"/>
    <w:rsid w:val="25DD5B2C"/>
    <w:rsid w:val="27362464"/>
    <w:rsid w:val="287F94F1"/>
    <w:rsid w:val="297DB190"/>
    <w:rsid w:val="2BDF2873"/>
    <w:rsid w:val="2DD5F1E2"/>
    <w:rsid w:val="2DFEAF8A"/>
    <w:rsid w:val="2EECEA58"/>
    <w:rsid w:val="2F7F869C"/>
    <w:rsid w:val="2F9F5DA5"/>
    <w:rsid w:val="2FBE6B15"/>
    <w:rsid w:val="2FBF78FB"/>
    <w:rsid w:val="2FBFF45A"/>
    <w:rsid w:val="2FCB5DAB"/>
    <w:rsid w:val="2FCF4A61"/>
    <w:rsid w:val="2FD2A92F"/>
    <w:rsid w:val="2FDBDB05"/>
    <w:rsid w:val="2FF654B8"/>
    <w:rsid w:val="2FFF7216"/>
    <w:rsid w:val="319BAEBF"/>
    <w:rsid w:val="31E72EED"/>
    <w:rsid w:val="3377C29A"/>
    <w:rsid w:val="33FD9368"/>
    <w:rsid w:val="34A84D13"/>
    <w:rsid w:val="34FEDFEF"/>
    <w:rsid w:val="355B61D3"/>
    <w:rsid w:val="3597E95F"/>
    <w:rsid w:val="35E712A8"/>
    <w:rsid w:val="35EB0CC7"/>
    <w:rsid w:val="35FB0B0B"/>
    <w:rsid w:val="363BF6FB"/>
    <w:rsid w:val="365F2E89"/>
    <w:rsid w:val="36E74817"/>
    <w:rsid w:val="36F8B5F5"/>
    <w:rsid w:val="373F86A8"/>
    <w:rsid w:val="376934DE"/>
    <w:rsid w:val="37B78662"/>
    <w:rsid w:val="37BC89F2"/>
    <w:rsid w:val="37D3E782"/>
    <w:rsid w:val="37D6B815"/>
    <w:rsid w:val="37EFE102"/>
    <w:rsid w:val="37FFC28C"/>
    <w:rsid w:val="3917E581"/>
    <w:rsid w:val="3977EF98"/>
    <w:rsid w:val="399F418A"/>
    <w:rsid w:val="39FD9D0B"/>
    <w:rsid w:val="3A6D025A"/>
    <w:rsid w:val="3B3E6E4B"/>
    <w:rsid w:val="3B6691D7"/>
    <w:rsid w:val="3B6FEF89"/>
    <w:rsid w:val="3BC7B9FD"/>
    <w:rsid w:val="3BDF01AD"/>
    <w:rsid w:val="3D1F9FAA"/>
    <w:rsid w:val="3D7BFE1B"/>
    <w:rsid w:val="3DC7952C"/>
    <w:rsid w:val="3DEF296C"/>
    <w:rsid w:val="3DFF2BAD"/>
    <w:rsid w:val="3E6F27C5"/>
    <w:rsid w:val="3E7BC898"/>
    <w:rsid w:val="3ED7A588"/>
    <w:rsid w:val="3EDD8996"/>
    <w:rsid w:val="3EFF8B31"/>
    <w:rsid w:val="3EFFABC7"/>
    <w:rsid w:val="3F272A28"/>
    <w:rsid w:val="3F3EF477"/>
    <w:rsid w:val="3F5DA8DB"/>
    <w:rsid w:val="3F77F124"/>
    <w:rsid w:val="3F7DD5C8"/>
    <w:rsid w:val="3F7E8172"/>
    <w:rsid w:val="3F7F1B0A"/>
    <w:rsid w:val="3F7F8373"/>
    <w:rsid w:val="3FAF9305"/>
    <w:rsid w:val="3FB3731D"/>
    <w:rsid w:val="3FBC5121"/>
    <w:rsid w:val="3FBF0316"/>
    <w:rsid w:val="3FD1FE3B"/>
    <w:rsid w:val="3FDFB89F"/>
    <w:rsid w:val="3FEA1F99"/>
    <w:rsid w:val="3FEEEBE3"/>
    <w:rsid w:val="3FEF2D9D"/>
    <w:rsid w:val="3FEF47B3"/>
    <w:rsid w:val="3FF7ACA8"/>
    <w:rsid w:val="3FF7BE46"/>
    <w:rsid w:val="3FFDB1BA"/>
    <w:rsid w:val="3FFF3FE1"/>
    <w:rsid w:val="3FFF90D9"/>
    <w:rsid w:val="3FFFC79B"/>
    <w:rsid w:val="41DD2163"/>
    <w:rsid w:val="424E04B4"/>
    <w:rsid w:val="448B1AB8"/>
    <w:rsid w:val="45545F2D"/>
    <w:rsid w:val="45FF7F14"/>
    <w:rsid w:val="46FF4030"/>
    <w:rsid w:val="472F7558"/>
    <w:rsid w:val="497CC3D0"/>
    <w:rsid w:val="49DBBAC2"/>
    <w:rsid w:val="4AFF3FEC"/>
    <w:rsid w:val="4B3F9B25"/>
    <w:rsid w:val="4D7FFF27"/>
    <w:rsid w:val="4E3FEC9B"/>
    <w:rsid w:val="4F5DEB74"/>
    <w:rsid w:val="4F5F486E"/>
    <w:rsid w:val="4F6ED80C"/>
    <w:rsid w:val="4F6FFD72"/>
    <w:rsid w:val="4FF7BAB8"/>
    <w:rsid w:val="4FFFD4D1"/>
    <w:rsid w:val="52DB55C1"/>
    <w:rsid w:val="53579750"/>
    <w:rsid w:val="53BD8A9D"/>
    <w:rsid w:val="53BE1824"/>
    <w:rsid w:val="53EF4088"/>
    <w:rsid w:val="56DC7231"/>
    <w:rsid w:val="579F664F"/>
    <w:rsid w:val="57BE8F15"/>
    <w:rsid w:val="57BF3E7A"/>
    <w:rsid w:val="57F4FF96"/>
    <w:rsid w:val="57FE947E"/>
    <w:rsid w:val="57FF1C12"/>
    <w:rsid w:val="57FF62B1"/>
    <w:rsid w:val="57FFFD2E"/>
    <w:rsid w:val="58F0959E"/>
    <w:rsid w:val="59770BDA"/>
    <w:rsid w:val="597747AC"/>
    <w:rsid w:val="59DADC15"/>
    <w:rsid w:val="5BA7A1BC"/>
    <w:rsid w:val="5BAFFE96"/>
    <w:rsid w:val="5BBC3652"/>
    <w:rsid w:val="5BD91FB4"/>
    <w:rsid w:val="5BEF505E"/>
    <w:rsid w:val="5BEF6F2B"/>
    <w:rsid w:val="5BEFBDD4"/>
    <w:rsid w:val="5BF122E0"/>
    <w:rsid w:val="5C9B8976"/>
    <w:rsid w:val="5CF72126"/>
    <w:rsid w:val="5D4EC669"/>
    <w:rsid w:val="5DBD8C83"/>
    <w:rsid w:val="5DD7A2FE"/>
    <w:rsid w:val="5DDF76FE"/>
    <w:rsid w:val="5DE4D98E"/>
    <w:rsid w:val="5DFF6DBA"/>
    <w:rsid w:val="5E1DACF9"/>
    <w:rsid w:val="5E3E7F3E"/>
    <w:rsid w:val="5E5E4613"/>
    <w:rsid w:val="5E7CA8A0"/>
    <w:rsid w:val="5E7F4620"/>
    <w:rsid w:val="5EBE8C9C"/>
    <w:rsid w:val="5ED79ABF"/>
    <w:rsid w:val="5EEDA850"/>
    <w:rsid w:val="5EEE428A"/>
    <w:rsid w:val="5EF227A2"/>
    <w:rsid w:val="5EFDC595"/>
    <w:rsid w:val="5F2F798F"/>
    <w:rsid w:val="5F655249"/>
    <w:rsid w:val="5F73E50F"/>
    <w:rsid w:val="5F770C90"/>
    <w:rsid w:val="5F7F0A11"/>
    <w:rsid w:val="5FBDAEA7"/>
    <w:rsid w:val="5FBF49F7"/>
    <w:rsid w:val="5FDFDFEE"/>
    <w:rsid w:val="5FE65E72"/>
    <w:rsid w:val="5FEDA3FE"/>
    <w:rsid w:val="5FEEA8A9"/>
    <w:rsid w:val="5FEEEBA5"/>
    <w:rsid w:val="5FFBC428"/>
    <w:rsid w:val="5FFFDA9C"/>
    <w:rsid w:val="61FFB13A"/>
    <w:rsid w:val="62AE85F9"/>
    <w:rsid w:val="6397A2B1"/>
    <w:rsid w:val="639EF793"/>
    <w:rsid w:val="63B8EDC6"/>
    <w:rsid w:val="63FF556D"/>
    <w:rsid w:val="64FBD6C0"/>
    <w:rsid w:val="65E7C46A"/>
    <w:rsid w:val="65FB6F5B"/>
    <w:rsid w:val="65FDA592"/>
    <w:rsid w:val="66F32656"/>
    <w:rsid w:val="66FFBD01"/>
    <w:rsid w:val="674343AC"/>
    <w:rsid w:val="679A114C"/>
    <w:rsid w:val="67BB042C"/>
    <w:rsid w:val="67C18BAA"/>
    <w:rsid w:val="67F31737"/>
    <w:rsid w:val="67FF9F87"/>
    <w:rsid w:val="68FA8884"/>
    <w:rsid w:val="69FF66E4"/>
    <w:rsid w:val="69FFD863"/>
    <w:rsid w:val="6A64FFB0"/>
    <w:rsid w:val="6A7FA940"/>
    <w:rsid w:val="6A973A01"/>
    <w:rsid w:val="6B7D8D52"/>
    <w:rsid w:val="6BB99D58"/>
    <w:rsid w:val="6BBD7B0F"/>
    <w:rsid w:val="6BFF730F"/>
    <w:rsid w:val="6BFF9309"/>
    <w:rsid w:val="6C2BDCC5"/>
    <w:rsid w:val="6C63A5BD"/>
    <w:rsid w:val="6C7BC90F"/>
    <w:rsid w:val="6C7F6E65"/>
    <w:rsid w:val="6CE56CD6"/>
    <w:rsid w:val="6D77215A"/>
    <w:rsid w:val="6D7DFE8D"/>
    <w:rsid w:val="6DA59666"/>
    <w:rsid w:val="6DAD01D5"/>
    <w:rsid w:val="6DB95E19"/>
    <w:rsid w:val="6DD80DD2"/>
    <w:rsid w:val="6DDFF836"/>
    <w:rsid w:val="6E6B127D"/>
    <w:rsid w:val="6E6EDA12"/>
    <w:rsid w:val="6E7F3B5B"/>
    <w:rsid w:val="6EBFE3E5"/>
    <w:rsid w:val="6ECAB6C8"/>
    <w:rsid w:val="6EEF826D"/>
    <w:rsid w:val="6F381AFD"/>
    <w:rsid w:val="6F3E477A"/>
    <w:rsid w:val="6F5BA5E6"/>
    <w:rsid w:val="6F5EA834"/>
    <w:rsid w:val="6F7F36FD"/>
    <w:rsid w:val="6F7FB10C"/>
    <w:rsid w:val="6F7FD6EB"/>
    <w:rsid w:val="6F9AFE5D"/>
    <w:rsid w:val="6F9F9AA1"/>
    <w:rsid w:val="6FB98C61"/>
    <w:rsid w:val="6FEC6386"/>
    <w:rsid w:val="6FED5CCE"/>
    <w:rsid w:val="6FF517C7"/>
    <w:rsid w:val="6FF7A593"/>
    <w:rsid w:val="6FF8294E"/>
    <w:rsid w:val="6FFB9075"/>
    <w:rsid w:val="6FFF1B44"/>
    <w:rsid w:val="6FFFFA64"/>
    <w:rsid w:val="707F5357"/>
    <w:rsid w:val="70DFBA16"/>
    <w:rsid w:val="71FFA1B0"/>
    <w:rsid w:val="729B2AA0"/>
    <w:rsid w:val="73BBEA43"/>
    <w:rsid w:val="73BF7EC8"/>
    <w:rsid w:val="73EDB61F"/>
    <w:rsid w:val="73FF0B5C"/>
    <w:rsid w:val="7476D9BA"/>
    <w:rsid w:val="751F5B48"/>
    <w:rsid w:val="752769AB"/>
    <w:rsid w:val="757BA2AB"/>
    <w:rsid w:val="75DED671"/>
    <w:rsid w:val="75EB7265"/>
    <w:rsid w:val="75FF56B2"/>
    <w:rsid w:val="75FF82E7"/>
    <w:rsid w:val="7637B115"/>
    <w:rsid w:val="7677895E"/>
    <w:rsid w:val="767FA7E4"/>
    <w:rsid w:val="76AF50BE"/>
    <w:rsid w:val="76BC3749"/>
    <w:rsid w:val="76BD2501"/>
    <w:rsid w:val="76BFB28C"/>
    <w:rsid w:val="76C85474"/>
    <w:rsid w:val="76DE7C5E"/>
    <w:rsid w:val="76E37FED"/>
    <w:rsid w:val="76F3C707"/>
    <w:rsid w:val="76F7B6A6"/>
    <w:rsid w:val="76FB79DA"/>
    <w:rsid w:val="76FF254D"/>
    <w:rsid w:val="772B5D5E"/>
    <w:rsid w:val="77354E0E"/>
    <w:rsid w:val="773F81AB"/>
    <w:rsid w:val="77521A3D"/>
    <w:rsid w:val="775268C9"/>
    <w:rsid w:val="77675BCB"/>
    <w:rsid w:val="7768BE8C"/>
    <w:rsid w:val="776FFB1E"/>
    <w:rsid w:val="7779B6F4"/>
    <w:rsid w:val="777B402D"/>
    <w:rsid w:val="777EEE4F"/>
    <w:rsid w:val="77ABF3B0"/>
    <w:rsid w:val="77AFB9BA"/>
    <w:rsid w:val="77BA473C"/>
    <w:rsid w:val="77BF8FE6"/>
    <w:rsid w:val="77BFB986"/>
    <w:rsid w:val="77E6DC86"/>
    <w:rsid w:val="77FA5714"/>
    <w:rsid w:val="77FC5122"/>
    <w:rsid w:val="77FD9694"/>
    <w:rsid w:val="77FE2EB7"/>
    <w:rsid w:val="77FF155E"/>
    <w:rsid w:val="78930333"/>
    <w:rsid w:val="79EF0509"/>
    <w:rsid w:val="79FED452"/>
    <w:rsid w:val="7A214278"/>
    <w:rsid w:val="7A359B01"/>
    <w:rsid w:val="7A3B50BE"/>
    <w:rsid w:val="7A7FA3E1"/>
    <w:rsid w:val="7ABBAB13"/>
    <w:rsid w:val="7ABEE575"/>
    <w:rsid w:val="7AED8C14"/>
    <w:rsid w:val="7AF95CF6"/>
    <w:rsid w:val="7AFDC2DC"/>
    <w:rsid w:val="7AFFB44A"/>
    <w:rsid w:val="7B29AE96"/>
    <w:rsid w:val="7B8F7378"/>
    <w:rsid w:val="7B9B31CB"/>
    <w:rsid w:val="7BAF1E67"/>
    <w:rsid w:val="7BB389C7"/>
    <w:rsid w:val="7BBF32A1"/>
    <w:rsid w:val="7BBFB96F"/>
    <w:rsid w:val="7BDFD360"/>
    <w:rsid w:val="7BEED396"/>
    <w:rsid w:val="7BEF37C1"/>
    <w:rsid w:val="7BEF6038"/>
    <w:rsid w:val="7BF6B0BE"/>
    <w:rsid w:val="7BFBAC8C"/>
    <w:rsid w:val="7BFBE58C"/>
    <w:rsid w:val="7BFD4DFE"/>
    <w:rsid w:val="7BFDD691"/>
    <w:rsid w:val="7BFF3EC1"/>
    <w:rsid w:val="7C5B6273"/>
    <w:rsid w:val="7CB139BC"/>
    <w:rsid w:val="7CDBEE83"/>
    <w:rsid w:val="7CF18BA3"/>
    <w:rsid w:val="7CFA21F6"/>
    <w:rsid w:val="7CFF0B26"/>
    <w:rsid w:val="7CFF2C83"/>
    <w:rsid w:val="7D2FCB7D"/>
    <w:rsid w:val="7D3E4DFA"/>
    <w:rsid w:val="7D59990A"/>
    <w:rsid w:val="7D5CCC3B"/>
    <w:rsid w:val="7D5E6B26"/>
    <w:rsid w:val="7D5FB96C"/>
    <w:rsid w:val="7D5FCFE4"/>
    <w:rsid w:val="7D6E3033"/>
    <w:rsid w:val="7D7DF824"/>
    <w:rsid w:val="7D7F2934"/>
    <w:rsid w:val="7DB9460D"/>
    <w:rsid w:val="7DBA0DF3"/>
    <w:rsid w:val="7DBB31D9"/>
    <w:rsid w:val="7DBB9A1B"/>
    <w:rsid w:val="7DBC6328"/>
    <w:rsid w:val="7DBF315D"/>
    <w:rsid w:val="7DCF7C68"/>
    <w:rsid w:val="7DDCF51E"/>
    <w:rsid w:val="7DE8BE4D"/>
    <w:rsid w:val="7DEFBF36"/>
    <w:rsid w:val="7DF79ED8"/>
    <w:rsid w:val="7DFB1F38"/>
    <w:rsid w:val="7DFBBA4A"/>
    <w:rsid w:val="7DFCB5C0"/>
    <w:rsid w:val="7DFD802F"/>
    <w:rsid w:val="7DFE39E4"/>
    <w:rsid w:val="7DFE6636"/>
    <w:rsid w:val="7DFF0E1A"/>
    <w:rsid w:val="7DFF6A41"/>
    <w:rsid w:val="7DFFD701"/>
    <w:rsid w:val="7E056916"/>
    <w:rsid w:val="7E19BD60"/>
    <w:rsid w:val="7E4F90F7"/>
    <w:rsid w:val="7E5F34D5"/>
    <w:rsid w:val="7E6AE911"/>
    <w:rsid w:val="7E7E0CBD"/>
    <w:rsid w:val="7EA1BD6D"/>
    <w:rsid w:val="7EAEE4C9"/>
    <w:rsid w:val="7EB87A2D"/>
    <w:rsid w:val="7EBB22D8"/>
    <w:rsid w:val="7EBE6E27"/>
    <w:rsid w:val="7EBE9E38"/>
    <w:rsid w:val="7EBF3475"/>
    <w:rsid w:val="7EC3BE0B"/>
    <w:rsid w:val="7EE58CBE"/>
    <w:rsid w:val="7EEB9F67"/>
    <w:rsid w:val="7EF58431"/>
    <w:rsid w:val="7EFB26BA"/>
    <w:rsid w:val="7EFD2184"/>
    <w:rsid w:val="7EFF663A"/>
    <w:rsid w:val="7EFF6FD4"/>
    <w:rsid w:val="7EFFC2A3"/>
    <w:rsid w:val="7F3C7D81"/>
    <w:rsid w:val="7F3F1160"/>
    <w:rsid w:val="7F4F5C7B"/>
    <w:rsid w:val="7F572C07"/>
    <w:rsid w:val="7F5B0292"/>
    <w:rsid w:val="7F63B5C5"/>
    <w:rsid w:val="7F65D8C3"/>
    <w:rsid w:val="7F6B9D4A"/>
    <w:rsid w:val="7F6EDA46"/>
    <w:rsid w:val="7F6EE928"/>
    <w:rsid w:val="7F7341AB"/>
    <w:rsid w:val="7F7858BF"/>
    <w:rsid w:val="7F7B0471"/>
    <w:rsid w:val="7F7BA1CC"/>
    <w:rsid w:val="7F7DF8B0"/>
    <w:rsid w:val="7F7F41B7"/>
    <w:rsid w:val="7F7F4A14"/>
    <w:rsid w:val="7F8F453A"/>
    <w:rsid w:val="7F952820"/>
    <w:rsid w:val="7F990C63"/>
    <w:rsid w:val="7FA95089"/>
    <w:rsid w:val="7FAF0F7D"/>
    <w:rsid w:val="7FB2339F"/>
    <w:rsid w:val="7FB75A0B"/>
    <w:rsid w:val="7FB7BC6E"/>
    <w:rsid w:val="7FBB9265"/>
    <w:rsid w:val="7FBF326A"/>
    <w:rsid w:val="7FBF4983"/>
    <w:rsid w:val="7FBFF2A2"/>
    <w:rsid w:val="7FD62502"/>
    <w:rsid w:val="7FDB8D81"/>
    <w:rsid w:val="7FDCA9E1"/>
    <w:rsid w:val="7FDF217A"/>
    <w:rsid w:val="7FDF8269"/>
    <w:rsid w:val="7FDF8970"/>
    <w:rsid w:val="7FE1B4FF"/>
    <w:rsid w:val="7FE9C070"/>
    <w:rsid w:val="7FEB6123"/>
    <w:rsid w:val="7FEC9134"/>
    <w:rsid w:val="7FEEC0B5"/>
    <w:rsid w:val="7FEF8A04"/>
    <w:rsid w:val="7FEFF705"/>
    <w:rsid w:val="7FF28E92"/>
    <w:rsid w:val="7FF57FF2"/>
    <w:rsid w:val="7FF658BA"/>
    <w:rsid w:val="7FF7687E"/>
    <w:rsid w:val="7FFB09DB"/>
    <w:rsid w:val="7FFC665C"/>
    <w:rsid w:val="7FFEC1C2"/>
    <w:rsid w:val="7FFF78CD"/>
    <w:rsid w:val="7FFF8D9D"/>
    <w:rsid w:val="7FFF8E1D"/>
    <w:rsid w:val="7FFF91D4"/>
    <w:rsid w:val="7FFFBCFA"/>
    <w:rsid w:val="7FFFCAEB"/>
  </w:rsids>
  <w:docVars>
    <w:docVar w:name="commondata" w:val="eyJoZGlkIjoiMzFkNDRhZWY3YzdlMmZlYmRmYzA4ZDE2ZmYzNzA3YW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段 Char"/>
    <w:link w:val="a"/>
    <w:qFormat/>
    <w:locked/>
    <w:rPr>
      <w:rFonts w:ascii="宋体" w:eastAsia="宋体" w:hAnsi="宋体"/>
    </w:rPr>
  </w:style>
  <w:style w:type="paragraph" w:customStyle="1" w:styleId="a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 w:hAnsi="宋体" w:cstheme="minorBidi"/>
      <w:kern w:val="2"/>
      <w:sz w:val="21"/>
      <w:szCs w:val="22"/>
      <w:lang w:val="en-US" w:eastAsia="zh-CN" w:bidi="ar-SA"/>
    </w:rPr>
  </w:style>
  <w:style w:type="character" w:customStyle="1" w:styleId="Char0">
    <w:name w:val="一级条标题 Char"/>
    <w:link w:val="a0"/>
    <w:qFormat/>
    <w:locked/>
    <w:rPr>
      <w:rFonts w:ascii="黑体" w:eastAsia="黑体" w:hAnsi="黑体"/>
      <w:szCs w:val="21"/>
    </w:rPr>
  </w:style>
  <w:style w:type="paragraph" w:customStyle="1" w:styleId="a0">
    <w:name w:val="一级条标题"/>
    <w:next w:val="a"/>
    <w:link w:val="Char0"/>
    <w:qFormat/>
    <w:pPr>
      <w:numPr>
        <w:ilvl w:val="1"/>
        <w:numId w:val="1"/>
      </w:numPr>
      <w:spacing w:beforeLines="50"/>
      <w:outlineLvl w:val="2"/>
    </w:pPr>
    <w:rPr>
      <w:rFonts w:ascii="黑体" w:eastAsia="黑体" w:hAnsi="黑体" w:cstheme="minorBidi"/>
      <w:kern w:val="2"/>
      <w:sz w:val="21"/>
      <w:szCs w:val="21"/>
      <w:lang w:val="en-US" w:eastAsia="zh-CN" w:bidi="ar-SA"/>
    </w:rPr>
  </w:style>
  <w:style w:type="paragraph" w:customStyle="1" w:styleId="a1">
    <w:name w:val="章标题"/>
    <w:next w:val="a"/>
    <w:qFormat/>
    <w:pPr>
      <w:numPr>
        <w:ilvl w:val="0"/>
        <w:numId w:val="1"/>
      </w:numPr>
      <w:spacing w:beforeLines="100"/>
      <w:jc w:val="both"/>
      <w:outlineLvl w:val="1"/>
    </w:pPr>
    <w:rPr>
      <w:rFonts w:ascii="黑体" w:eastAsia="黑体" w:hAnsi="Times New Roman" w:cs="Times New Roman"/>
      <w:sz w:val="21"/>
      <w:lang w:val="en-US" w:eastAsia="zh-CN" w:bidi="ar-SA"/>
    </w:rPr>
  </w:style>
  <w:style w:type="paragraph" w:customStyle="1" w:styleId="a2">
    <w:name w:val="二级条标题"/>
    <w:basedOn w:val="a0"/>
    <w:next w:val="a"/>
    <w:qFormat/>
    <w:pPr>
      <w:numPr>
        <w:ilvl w:val="2"/>
      </w:numPr>
      <w:tabs>
        <w:tab w:val="left" w:pos="360"/>
      </w:tabs>
      <w:spacing w:afterLines="50"/>
      <w:outlineLvl w:val="3"/>
    </w:pPr>
  </w:style>
  <w:style w:type="paragraph" w:customStyle="1" w:styleId="a3">
    <w:name w:val="列项——（一级）"/>
    <w:qFormat/>
    <w:pPr>
      <w:widowControl w:val="0"/>
      <w:numPr>
        <w:ilvl w:val="0"/>
        <w:numId w:val="2"/>
      </w:numPr>
      <w:jc w:val="both"/>
    </w:pPr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4">
    <w:name w:val="列项●（二级）"/>
    <w:qFormat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5">
    <w:name w:val="三级条标题"/>
    <w:basedOn w:val="a2"/>
    <w:next w:val="a"/>
    <w:qFormat/>
    <w:pPr>
      <w:numPr>
        <w:ilvl w:val="0"/>
        <w:numId w:val="0"/>
      </w:numPr>
      <w:outlineLvl w:val="4"/>
    </w:pPr>
  </w:style>
  <w:style w:type="paragraph" w:customStyle="1" w:styleId="a6">
    <w:name w:val="四级条标题"/>
    <w:basedOn w:val="a5"/>
    <w:next w:val="a"/>
    <w:qFormat/>
    <w:pPr>
      <w:numPr>
        <w:ilvl w:val="4"/>
        <w:numId w:val="1"/>
      </w:numPr>
      <w:outlineLvl w:val="5"/>
    </w:pPr>
  </w:style>
  <w:style w:type="paragraph" w:customStyle="1" w:styleId="a7">
    <w:name w:val="五级条标题"/>
    <w:basedOn w:val="a6"/>
    <w:next w:val="a"/>
    <w:qFormat/>
    <w:pPr>
      <w:numPr>
        <w:ilvl w:val="5"/>
      </w:numPr>
      <w:outlineLvl w:val="6"/>
    </w:pPr>
  </w:style>
  <w:style w:type="paragraph" w:customStyle="1" w:styleId="a8">
    <w:name w:val="列项◆（三级）"/>
    <w:basedOn w:val="Normal"/>
    <w:qFormat/>
    <w:pPr>
      <w:numPr>
        <w:ilvl w:val="2"/>
        <w:numId w:val="2"/>
      </w:numPr>
    </w:pPr>
    <w:rPr>
      <w:rFonts w:ascii="宋体"/>
      <w:szCs w:val="21"/>
    </w:rPr>
  </w:style>
  <w:style w:type="paragraph" w:customStyle="1" w:styleId="a9">
    <w:name w:val="附录标识"/>
    <w:basedOn w:val="Normal"/>
    <w:next w:val="a"/>
    <w:qFormat/>
    <w:pPr>
      <w:keepNext/>
      <w:widowControl/>
      <w:numPr>
        <w:ilvl w:val="0"/>
        <w:numId w:val="3"/>
      </w:numPr>
      <w:shd w:val="clear" w:color="auto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10">
    <w:name w:val="附录表标号"/>
    <w:basedOn w:val="Normal"/>
    <w:next w:val="a"/>
    <w:qFormat/>
    <w:pPr>
      <w:numPr>
        <w:ilvl w:val="0"/>
        <w:numId w:val="4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11">
    <w:name w:val="附录表标题"/>
    <w:basedOn w:val="Normal"/>
    <w:next w:val="a"/>
    <w:qFormat/>
    <w:pPr>
      <w:numPr>
        <w:ilvl w:val="1"/>
        <w:numId w:val="4"/>
      </w:numPr>
      <w:tabs>
        <w:tab w:val="left" w:pos="180"/>
      </w:tabs>
      <w:spacing w:beforeLines="50"/>
      <w:ind w:firstLine="0"/>
      <w:jc w:val="center"/>
    </w:pPr>
    <w:rPr>
      <w:rFonts w:ascii="黑体" w:eastAsia="黑体"/>
      <w:szCs w:val="21"/>
    </w:rPr>
  </w:style>
  <w:style w:type="paragraph" w:customStyle="1" w:styleId="a12">
    <w:name w:val="附录二级条标题"/>
    <w:basedOn w:val="Normal"/>
    <w:next w:val="a"/>
    <w:qFormat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/>
      <w:outlineLvl w:val="3"/>
    </w:pPr>
    <w:rPr>
      <w:rFonts w:ascii="黑体" w:eastAsia="黑体"/>
      <w:kern w:val="21"/>
      <w:szCs w:val="20"/>
    </w:rPr>
  </w:style>
  <w:style w:type="paragraph" w:customStyle="1" w:styleId="a13">
    <w:name w:val="附录三级条标题"/>
    <w:basedOn w:val="a12"/>
    <w:next w:val="a"/>
    <w:qFormat/>
    <w:pPr>
      <w:numPr>
        <w:ilvl w:val="4"/>
      </w:numPr>
      <w:outlineLvl w:val="4"/>
    </w:pPr>
  </w:style>
  <w:style w:type="paragraph" w:customStyle="1" w:styleId="a14">
    <w:name w:val="附录四级条标题"/>
    <w:basedOn w:val="a13"/>
    <w:next w:val="a"/>
    <w:qFormat/>
    <w:pPr>
      <w:numPr>
        <w:ilvl w:val="5"/>
      </w:numPr>
      <w:outlineLvl w:val="5"/>
    </w:pPr>
  </w:style>
  <w:style w:type="paragraph" w:customStyle="1" w:styleId="a15">
    <w:name w:val="附录五级条标题"/>
    <w:basedOn w:val="a14"/>
    <w:next w:val="a"/>
    <w:qFormat/>
    <w:pPr>
      <w:numPr>
        <w:ilvl w:val="6"/>
      </w:numPr>
      <w:outlineLvl w:val="6"/>
    </w:pPr>
  </w:style>
  <w:style w:type="paragraph" w:customStyle="1" w:styleId="a16">
    <w:name w:val="附录章标题"/>
    <w:next w:val="a"/>
    <w:qFormat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/>
      <w:jc w:val="both"/>
      <w:outlineLvl w:val="1"/>
    </w:pPr>
    <w:rPr>
      <w:rFonts w:ascii="黑体" w:eastAsia="黑体" w:hAnsi="Times New Roman" w:cs="Times New Roman"/>
      <w:kern w:val="21"/>
      <w:sz w:val="21"/>
      <w:lang w:val="en-US" w:eastAsia="zh-CN" w:bidi="ar-SA"/>
    </w:rPr>
  </w:style>
  <w:style w:type="paragraph" w:customStyle="1" w:styleId="a17">
    <w:name w:val="附录一级条标题"/>
    <w:basedOn w:val="a16"/>
    <w:next w:val="a"/>
    <w:qFormat/>
    <w:pPr>
      <w:numPr>
        <w:ilvl w:val="2"/>
      </w:numPr>
      <w:autoSpaceDN w:val="0"/>
      <w:spacing w:beforeLines="50"/>
      <w:outlineLvl w:val="2"/>
    </w:pPr>
  </w:style>
  <w:style w:type="paragraph" w:customStyle="1" w:styleId="a18">
    <w:name w:val="正文表标题"/>
    <w:next w:val="a"/>
    <w:qFormat/>
    <w:pPr>
      <w:numPr>
        <w:ilvl w:val="0"/>
        <w:numId w:val="5"/>
      </w:numPr>
      <w:tabs>
        <w:tab w:val="left" w:pos="360"/>
      </w:tabs>
      <w:spacing w:beforeLines="50"/>
      <w:jc w:val="center"/>
    </w:pPr>
    <w:rPr>
      <w:rFonts w:ascii="黑体" w:eastAsia="黑体" w:hAnsi="Times New Roman" w:cs="Times New Roman"/>
      <w:sz w:val="21"/>
      <w:lang w:val="en-US" w:eastAsia="zh-CN" w:bidi="ar-SA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DefaultParagraphFont"/>
    <w:link w:val="Heade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DefaultParagraphFont"/>
    <w:link w:val="Footer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潘锦功:拟稿人校对</cp:lastModifiedBy>
  <cp:revision>2</cp:revision>
  <cp:lastPrinted>2023-11-23T22:35:00Z</cp:lastPrinted>
  <dcterms:created xsi:type="dcterms:W3CDTF">2023-11-24T16:43:00Z</dcterms:created>
  <dcterms:modified xsi:type="dcterms:W3CDTF">2023-11-25T16:16:15Z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D1FAF4ACE30151E135A76165005B697C</vt:lpwstr>
  </property>
  <property fmtid="{D5CDD505-2E9C-101B-9397-08002B2CF9AE}" pid="3" name="KSOProductBuildVer">
    <vt:lpwstr>2052-11.8.2.11764</vt:lpwstr>
  </property>
</Properties>
</file>