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-6"/>
          <w:kern w:val="0"/>
          <w:sz w:val="32"/>
          <w:szCs w:val="32"/>
        </w:rPr>
        <w:t>附件1</w:t>
      </w:r>
    </w:p>
    <w:p>
      <w:pPr>
        <w:spacing w:line="560" w:lineRule="exact"/>
        <w:rPr>
          <w:rFonts w:ascii="黑体" w:eastAsia="黑体"/>
          <w:color w:val="000000"/>
          <w:spacing w:val="-6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宋体"/>
          <w:bCs/>
          <w:spacing w:val="-14"/>
          <w:kern w:val="0"/>
          <w:sz w:val="44"/>
          <w:szCs w:val="44"/>
        </w:rPr>
      </w:pPr>
      <w:r>
        <w:rPr>
          <w:rFonts w:hint="eastAsia" w:ascii="黑体" w:hAnsi="黑体" w:eastAsia="黑体" w:cs="宋体"/>
          <w:bCs/>
          <w:spacing w:val="-14"/>
          <w:kern w:val="0"/>
          <w:sz w:val="44"/>
          <w:szCs w:val="44"/>
        </w:rPr>
        <w:t>福建省雷电防护装置检测专业技术人员</w:t>
      </w:r>
    </w:p>
    <w:p>
      <w:pPr>
        <w:spacing w:line="560" w:lineRule="exact"/>
        <w:jc w:val="center"/>
        <w:rPr>
          <w:rFonts w:ascii="黑体" w:hAnsi="黑体" w:eastAsia="黑体" w:cs="宋体"/>
          <w:bCs/>
          <w:spacing w:val="-14"/>
          <w:kern w:val="0"/>
          <w:sz w:val="44"/>
          <w:szCs w:val="44"/>
        </w:rPr>
      </w:pPr>
      <w:r>
        <w:rPr>
          <w:rFonts w:hint="eastAsia" w:ascii="黑体" w:hAnsi="黑体" w:eastAsia="黑体" w:cs="宋体"/>
          <w:bCs/>
          <w:spacing w:val="-14"/>
          <w:kern w:val="0"/>
          <w:sz w:val="44"/>
          <w:szCs w:val="44"/>
        </w:rPr>
        <w:t>职业能力评价考试大纲（试行）</w:t>
      </w:r>
    </w:p>
    <w:p>
      <w:pPr>
        <w:spacing w:before="240"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一、考试范围</w:t>
      </w:r>
    </w:p>
    <w:p>
      <w:pPr>
        <w:pStyle w:val="14"/>
        <w:adjustRightInd w:val="0"/>
        <w:snapToGrid w:val="0"/>
        <w:spacing w:line="560" w:lineRule="exact"/>
        <w:ind w:firstLine="56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考试范围包括与雷电防护装置检测相关的法律法规知识、安全生产知识和</w:t>
      </w:r>
      <w:bookmarkStart w:id="0" w:name="_Hlk146268448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雷电</w:t>
      </w:r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理论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及电学基础等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知识。</w:t>
      </w:r>
    </w:p>
    <w:p>
      <w:pPr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二、考试题型</w:t>
      </w:r>
    </w:p>
    <w:p>
      <w:pPr>
        <w:pStyle w:val="14"/>
        <w:adjustRightInd w:val="0"/>
        <w:snapToGrid w:val="0"/>
        <w:spacing w:line="560" w:lineRule="exact"/>
        <w:ind w:firstLine="56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单选题、多选题、填空题、计算题、简述题。</w:t>
      </w:r>
    </w:p>
    <w:p>
      <w:pPr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三、知识要求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知识程度由高到低，分为掌握、熟悉、了解三个层次：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掌握：熟知并能运用，表示较高要求；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熟悉：知道的很清楚，表示一般要求；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了解：知道的清楚，表示较低要求。</w:t>
      </w:r>
    </w:p>
    <w:p>
      <w:pPr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四、考试内容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（一）法律法规知识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熟悉以下雷电灾害防御及安全生产相关法律法规：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1.《中华人民共和国气象法》；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2.《气象灾害防御条例》（国务院令第570号，2017年修订版）；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3.《雷电防护装置设计审核和竣工验收规定》（中国气象局令第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37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号）；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4.《防雷减灾管理办法》（中国气象局令第24号）；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5.《雷电防护装置检测资质管理办法》（中国气象局令第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38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号，2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020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年修订版）；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6.《福建省气象条例》（2022年修订版）；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7.《福建省气象灾害防御办法》。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（二）安全生产知识</w:t>
      </w:r>
    </w:p>
    <w:p>
      <w:pPr>
        <w:pStyle w:val="14"/>
        <w:adjustRightInd w:val="0"/>
        <w:snapToGrid w:val="0"/>
        <w:spacing w:line="560" w:lineRule="exact"/>
        <w:ind w:firstLine="56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掌握雷电防护装置检测安全作业操作规程、设备设施安全操作方法、爆炸和火灾危险场所安全生产常识及常见安全生产防护设施的功用、高空作业要求、劳动防护用品的使用以及人身伤害现场自救常识。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（三）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  <w:t>专业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理论知识</w:t>
      </w:r>
    </w:p>
    <w:p>
      <w:pPr>
        <w:pStyle w:val="14"/>
        <w:adjustRightInd w:val="0"/>
        <w:snapToGrid w:val="0"/>
        <w:spacing w:line="560" w:lineRule="exact"/>
        <w:ind w:firstLine="56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基本知识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</w:t>
      </w:r>
    </w:p>
    <w:p>
      <w:pPr>
        <w:pStyle w:val="14"/>
        <w:adjustRightInd w:val="0"/>
        <w:snapToGrid w:val="0"/>
        <w:spacing w:line="560" w:lineRule="exact"/>
        <w:ind w:firstLine="560"/>
        <w:rPr>
          <w:rFonts w:ascii="宋体" w:cs="宋体"/>
          <w:sz w:val="18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熟悉雷电与电学基本知识，主要包括雷电形成的基本原理和主要参量、电磁兼容（EMC）的基本知识、电学基本原理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以及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数值修约规则等。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技术标准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熟练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应用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雷电防护装置检测相关技术标准，掌握各类建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（构）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筑物的防雷分类及防雷区划分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方法，掌握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雷电防护装置检测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项目的技术要求和方法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，包括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接闪器、引下线、接地装置、雷电电磁脉冲屏蔽、等电位连接和电涌保护器（S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PD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掌握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检测仪器性能、特征和使用方法。知识程度要求如下：</w:t>
      </w:r>
    </w:p>
    <w:p>
      <w:pPr>
        <w:tabs>
          <w:tab w:val="right" w:pos="8306"/>
        </w:tabs>
        <w:adjustRightInd w:val="0"/>
        <w:snapToGrid w:val="0"/>
        <w:spacing w:line="56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掌握：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 GB/T 21431-2015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建筑物防雷防雷装置检测技术规范，包括检测项目、检测要求和方法、检测周期、检测程序和检测数据整理及报告；爆炸危险环境分区和防雷分类；接地电阻和土壤电阻率的测量方法；冲击接地电阻与工频接地电阻的换算方法；检测中常见问题处理；磁场测量和屏蔽效率的计算；检测仪器的主要性能和参数指标。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 GB/T 32937-2016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爆炸和火灾危险场所防雷装置检测技术规范，包括爆炸和火灾危险场所防雷装置检测的一般规定、检测方法及周期、检测内容及技术要求；爆炸性气体和可燃性粉尘场所分区；防雷区划分；生产场所和储运场所分类；防雷装置技术要求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 GB/T 32938-2016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防雷装置检测服务规范，包括防雷装置检测的服务流程、质量控制、环境、安全、设备、档案管理等方面的要求。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④ GB/T 33676-2017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通信局 (站)防雷装置检测技术，包括检测项目、检测流程、检测内容与要求和检测报告。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⑤ GB 50057-2010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建筑物防雷设计规范，包括建筑物的防雷分类及防雷措施、防雷装置与防雷击电磁脉冲的技术要求；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⑥ GB 50601-2010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防雷装置施工质量与验收规范，包括施工现场质量管理、施工质量控制要求、接地装置、引下线、接闪器、等电位连接、屏蔽、综合布线安全、电涌保护器分项工程技术要求、工程质量验收。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⑦ QX/T 186-2013 安全防范系统雷电防护要求及检测技术规范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包括安全防范系统的防雷等级划分、雷电防护要求和防雷装置检测要求。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⑧ QX/T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317-2016 防雷装置检测质量考核通则，包括防雷装置检测质量考核的基本规定、程序、机构、内容、要求、方式、资料处理及判定规则、报告上报。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⑨ QX/T 319-2021 雷电防护装置检测文件归档整理规范，包括防雷装置检测文件归档的基本规定以及归档文件的形式、范围、质量和立卷要求。</w:t>
      </w:r>
    </w:p>
    <w:p>
      <w:pPr>
        <w:tabs>
          <w:tab w:val="right" w:pos="8306"/>
        </w:tabs>
        <w:adjustRightInd w:val="0"/>
        <w:snapToGrid w:val="0"/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熟悉：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 GB/T 17949.1-2000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接地系统的土壤电阻率 接地阻抗和地面电位测量导则 第1部分 常规测量；.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 GB/T 36490-2018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风力发电机组 防雷装置检测技术规范；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 GB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T 36963-2018 光伏建筑一体化系统防雷技术规范；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④ DL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T 475-2017 接地装置特性参数测量导则；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⑤ QX/T 211-2019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高速公路设施防雷装置检测技术规范;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⑥ QX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T 265-2015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输气管道系统防雷装置检测技术规范;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⑦ QX/T 309-2017 防雷安全管理规范；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⑧ QX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T 311-2015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大型浮顶油罐防雷装置检测规范;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⑨ QX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T 312-2015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风力发电机组防雷装置检测技术规范;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⑩ QX/T 406-2017 雷电防护装置检测专业技术人员职业要求；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560" w:lineRule="exact"/>
        <w:ind w:left="315" w:leftChars="150" w:firstLine="24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Cambria Math" w:hAnsi="Cambria Math" w:eastAsia="仿宋_GB2312" w:cs="Cambria Math"/>
          <w:sz w:val="24"/>
        </w:rPr>
        <w:t>⑪</w:t>
      </w:r>
      <w:r>
        <w:rPr>
          <w:rFonts w:ascii="Cambria Math" w:hAnsi="Cambria Math" w:eastAsia="仿宋_GB2312" w:cs="Cambria Math"/>
          <w:sz w:val="13"/>
          <w:szCs w:val="13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QX/T 407-2017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雷电防护装置检测专业技术人员职业能力评价；</w:t>
      </w:r>
    </w:p>
    <w:p>
      <w:pPr>
        <w:adjustRightInd w:val="0"/>
        <w:snapToGrid w:val="0"/>
        <w:spacing w:line="560" w:lineRule="exact"/>
        <w:ind w:firstLine="566" w:firstLineChars="23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Cambria Math" w:hAnsi="Cambria Math" w:eastAsia="仿宋_GB2312" w:cs="Cambria Math"/>
          <w:sz w:val="24"/>
        </w:rPr>
        <w:t>⑫</w:t>
      </w:r>
      <w:r>
        <w:rPr>
          <w:rFonts w:ascii="Cambria Math" w:hAnsi="Cambria Math" w:eastAsia="仿宋_GB2312" w:cs="Cambria Math"/>
          <w:sz w:val="11"/>
          <w:szCs w:val="11"/>
        </w:rPr>
        <w:t xml:space="preserve"> </w:t>
      </w:r>
      <w:r>
        <w:rPr>
          <w:rFonts w:ascii="Cambria Math" w:hAnsi="Cambria Math" w:eastAsia="仿宋_GB2312" w:cs="Cambria Math"/>
          <w:sz w:val="13"/>
          <w:szCs w:val="13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QX/T 498-2019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地铁雷电防护装置检测技术规范;</w:t>
      </w:r>
    </w:p>
    <w:p>
      <w:pPr>
        <w:adjustRightInd w:val="0"/>
        <w:snapToGrid w:val="0"/>
        <w:spacing w:line="560" w:lineRule="exact"/>
        <w:ind w:firstLine="566" w:firstLineChars="23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Cambria Math" w:hAnsi="Cambria Math" w:eastAsia="仿宋_GB2312" w:cs="Cambria Math"/>
          <w:sz w:val="24"/>
        </w:rPr>
        <w:t>⑬</w:t>
      </w:r>
      <w:r>
        <w:rPr>
          <w:rFonts w:ascii="Cambria Math" w:hAnsi="Cambria Math" w:eastAsia="仿宋_GB2312" w:cs="Cambria Math"/>
          <w:sz w:val="11"/>
          <w:szCs w:val="11"/>
        </w:rPr>
        <w:t xml:space="preserve"> </w:t>
      </w:r>
      <w:r>
        <w:rPr>
          <w:rFonts w:ascii="Cambria Math" w:hAnsi="Cambria Math" w:eastAsia="仿宋_GB2312" w:cs="Cambria Math"/>
          <w:sz w:val="13"/>
          <w:szCs w:val="13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QX/T 560-2020 雷电防护装置检测作业安全规范;</w:t>
      </w:r>
    </w:p>
    <w:p>
      <w:pPr>
        <w:tabs>
          <w:tab w:val="right" w:pos="8306"/>
        </w:tabs>
        <w:adjustRightInd w:val="0"/>
        <w:snapToGrid w:val="0"/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了解：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 GB/T 12158-2006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防止静电事故通用导则；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 GB/T 18802.1-2011 低压电涌保护器第1部分：低压配电系统的电涌保护器——性能要求和试验方法；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 GB/T 18802.12-2014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低压电涌保护器（SPD） 第12部分：低压配电系统的电涌保护器 选择和使用导则；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④ GB/T 21714.1-2015/IEC 62305-1：2010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雷电防护 第1部分：总则；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⑤ GB/T 21714.2-2015/IEC 62305-2：2010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雷电防护 第2部分：风险管理；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⑥ GB/T 50028-2020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城镇燃气设计规范；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⑦ GB 50156-2021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汽车加油加气加氢站技术标准；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⑧ GB 50650-2011(2022版) 石油化工装置防雷设计规范；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⑨ QX/T 400-2017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雷安全检查规程；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⑩ QX/T 401-2017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雷电防护装置检测单位质量管理体系建设规范。</w:t>
      </w:r>
    </w:p>
    <w:p>
      <w:pPr>
        <w:widowControl/>
        <w:jc w:val="left"/>
        <w:rPr>
          <w:rFonts w:ascii="黑体" w:hAnsi="华文中宋" w:eastAsia="黑体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420" w:firstLineChars="200"/>
      <w:rPr>
        <w:rStyle w:val="10"/>
        <w:sz w:val="28"/>
        <w:szCs w:val="28"/>
      </w:rPr>
    </w:pPr>
    <w:r>
      <w:rPr>
        <w:rStyle w:val="10"/>
        <w:rFonts w:hint="eastAsia"/>
        <w:sz w:val="21"/>
        <w:szCs w:val="21"/>
      </w:rPr>
      <w:t>—</w:t>
    </w:r>
    <w:r>
      <w:rPr>
        <w:rStyle w:val="10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</w:t>
    </w:r>
    <w:r>
      <w:rPr>
        <w:rStyle w:val="10"/>
        <w:rFonts w:hint="eastAsia"/>
        <w:sz w:val="21"/>
        <w:szCs w:val="21"/>
      </w:rPr>
      <w:t>—</w:t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E0F586"/>
    <w:multiLevelType w:val="multilevel"/>
    <w:tmpl w:val="F4E0F586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OGUyZjQ4ZWYzM2MyOWNlMTU2YjM2YWNiNTBjODZjZTgifQ=="/>
  </w:docVars>
  <w:rsids>
    <w:rsidRoot w:val="00B241CA"/>
    <w:rsid w:val="000107AC"/>
    <w:rsid w:val="00011527"/>
    <w:rsid w:val="0002153F"/>
    <w:rsid w:val="00024623"/>
    <w:rsid w:val="00050D1C"/>
    <w:rsid w:val="0005142F"/>
    <w:rsid w:val="00060D09"/>
    <w:rsid w:val="00073035"/>
    <w:rsid w:val="00075C80"/>
    <w:rsid w:val="000908BA"/>
    <w:rsid w:val="000917AB"/>
    <w:rsid w:val="000A1E28"/>
    <w:rsid w:val="000A52D3"/>
    <w:rsid w:val="000B1DD9"/>
    <w:rsid w:val="000B59C3"/>
    <w:rsid w:val="000B5E26"/>
    <w:rsid w:val="000B7AA0"/>
    <w:rsid w:val="000C4722"/>
    <w:rsid w:val="000D2741"/>
    <w:rsid w:val="000E0ADA"/>
    <w:rsid w:val="000E4EEC"/>
    <w:rsid w:val="00100FB4"/>
    <w:rsid w:val="00104F98"/>
    <w:rsid w:val="0011628B"/>
    <w:rsid w:val="00117597"/>
    <w:rsid w:val="00123377"/>
    <w:rsid w:val="001319C3"/>
    <w:rsid w:val="00134222"/>
    <w:rsid w:val="00145DA4"/>
    <w:rsid w:val="00147A35"/>
    <w:rsid w:val="00150589"/>
    <w:rsid w:val="001579BC"/>
    <w:rsid w:val="00162062"/>
    <w:rsid w:val="00163A44"/>
    <w:rsid w:val="00174794"/>
    <w:rsid w:val="0017693E"/>
    <w:rsid w:val="0019504E"/>
    <w:rsid w:val="001A29C6"/>
    <w:rsid w:val="001A570F"/>
    <w:rsid w:val="001A5C22"/>
    <w:rsid w:val="001B30BA"/>
    <w:rsid w:val="001C2D35"/>
    <w:rsid w:val="001C4587"/>
    <w:rsid w:val="001D5516"/>
    <w:rsid w:val="001E1879"/>
    <w:rsid w:val="001E7D6A"/>
    <w:rsid w:val="001F0F1E"/>
    <w:rsid w:val="001F2D63"/>
    <w:rsid w:val="001F6568"/>
    <w:rsid w:val="00227ACC"/>
    <w:rsid w:val="00233F09"/>
    <w:rsid w:val="00243576"/>
    <w:rsid w:val="00244E94"/>
    <w:rsid w:val="002469BB"/>
    <w:rsid w:val="00266C1B"/>
    <w:rsid w:val="00270B63"/>
    <w:rsid w:val="002714CE"/>
    <w:rsid w:val="00284585"/>
    <w:rsid w:val="00284685"/>
    <w:rsid w:val="002A097E"/>
    <w:rsid w:val="002A3D37"/>
    <w:rsid w:val="002A56E9"/>
    <w:rsid w:val="002C11CC"/>
    <w:rsid w:val="002C440F"/>
    <w:rsid w:val="002C5FF7"/>
    <w:rsid w:val="002C6E12"/>
    <w:rsid w:val="002D2236"/>
    <w:rsid w:val="002D41F5"/>
    <w:rsid w:val="002E43E4"/>
    <w:rsid w:val="00306A12"/>
    <w:rsid w:val="00310EEC"/>
    <w:rsid w:val="0031744A"/>
    <w:rsid w:val="00324DCE"/>
    <w:rsid w:val="003333A0"/>
    <w:rsid w:val="00342AEB"/>
    <w:rsid w:val="00343791"/>
    <w:rsid w:val="00346C7C"/>
    <w:rsid w:val="0037448B"/>
    <w:rsid w:val="00382F02"/>
    <w:rsid w:val="003841BC"/>
    <w:rsid w:val="003B025C"/>
    <w:rsid w:val="003B131F"/>
    <w:rsid w:val="003B1821"/>
    <w:rsid w:val="003B18E9"/>
    <w:rsid w:val="003C38D9"/>
    <w:rsid w:val="003D7596"/>
    <w:rsid w:val="003E0450"/>
    <w:rsid w:val="003E09CA"/>
    <w:rsid w:val="003E54F1"/>
    <w:rsid w:val="003E664D"/>
    <w:rsid w:val="003F3C63"/>
    <w:rsid w:val="0040551B"/>
    <w:rsid w:val="00406709"/>
    <w:rsid w:val="00406825"/>
    <w:rsid w:val="00406CD7"/>
    <w:rsid w:val="00411B46"/>
    <w:rsid w:val="00434FCB"/>
    <w:rsid w:val="00436744"/>
    <w:rsid w:val="00441C65"/>
    <w:rsid w:val="00446A3C"/>
    <w:rsid w:val="004517E9"/>
    <w:rsid w:val="004711F1"/>
    <w:rsid w:val="00477044"/>
    <w:rsid w:val="004A2F50"/>
    <w:rsid w:val="004A76F6"/>
    <w:rsid w:val="004B6B43"/>
    <w:rsid w:val="004C0EA9"/>
    <w:rsid w:val="004C3C02"/>
    <w:rsid w:val="004C7A6A"/>
    <w:rsid w:val="004E40D1"/>
    <w:rsid w:val="004E7628"/>
    <w:rsid w:val="004F1B0D"/>
    <w:rsid w:val="004F4A5F"/>
    <w:rsid w:val="00502BE7"/>
    <w:rsid w:val="00506AC6"/>
    <w:rsid w:val="00510FF0"/>
    <w:rsid w:val="00526765"/>
    <w:rsid w:val="00530B24"/>
    <w:rsid w:val="00532163"/>
    <w:rsid w:val="005336A7"/>
    <w:rsid w:val="00535D78"/>
    <w:rsid w:val="00544464"/>
    <w:rsid w:val="00544FDC"/>
    <w:rsid w:val="00545EFA"/>
    <w:rsid w:val="00552233"/>
    <w:rsid w:val="00555D3B"/>
    <w:rsid w:val="00556D43"/>
    <w:rsid w:val="00556FDE"/>
    <w:rsid w:val="00575A92"/>
    <w:rsid w:val="005870A4"/>
    <w:rsid w:val="0059125C"/>
    <w:rsid w:val="005A0FF0"/>
    <w:rsid w:val="005B4B15"/>
    <w:rsid w:val="005B6927"/>
    <w:rsid w:val="005B7838"/>
    <w:rsid w:val="005B7C30"/>
    <w:rsid w:val="005B7EED"/>
    <w:rsid w:val="005C27A5"/>
    <w:rsid w:val="005C7D8F"/>
    <w:rsid w:val="005E347F"/>
    <w:rsid w:val="005E39F1"/>
    <w:rsid w:val="005F5227"/>
    <w:rsid w:val="00612B92"/>
    <w:rsid w:val="0061422E"/>
    <w:rsid w:val="0061472D"/>
    <w:rsid w:val="00630A4C"/>
    <w:rsid w:val="00632BFB"/>
    <w:rsid w:val="0063668C"/>
    <w:rsid w:val="006373E8"/>
    <w:rsid w:val="00642D0E"/>
    <w:rsid w:val="00645A60"/>
    <w:rsid w:val="0065689B"/>
    <w:rsid w:val="00660730"/>
    <w:rsid w:val="00666BA8"/>
    <w:rsid w:val="00672FC2"/>
    <w:rsid w:val="006743C2"/>
    <w:rsid w:val="00681529"/>
    <w:rsid w:val="00683892"/>
    <w:rsid w:val="006844DD"/>
    <w:rsid w:val="00687835"/>
    <w:rsid w:val="00692B82"/>
    <w:rsid w:val="0069772A"/>
    <w:rsid w:val="006A5421"/>
    <w:rsid w:val="006B3167"/>
    <w:rsid w:val="006B372D"/>
    <w:rsid w:val="006C14FB"/>
    <w:rsid w:val="006C174C"/>
    <w:rsid w:val="006C6047"/>
    <w:rsid w:val="006D2735"/>
    <w:rsid w:val="006D291E"/>
    <w:rsid w:val="006D6B67"/>
    <w:rsid w:val="006D74ED"/>
    <w:rsid w:val="006E1A62"/>
    <w:rsid w:val="006E7BC1"/>
    <w:rsid w:val="006F021D"/>
    <w:rsid w:val="006F4574"/>
    <w:rsid w:val="006F61EB"/>
    <w:rsid w:val="007077A1"/>
    <w:rsid w:val="007153B0"/>
    <w:rsid w:val="00722225"/>
    <w:rsid w:val="00727130"/>
    <w:rsid w:val="00742524"/>
    <w:rsid w:val="00746E12"/>
    <w:rsid w:val="00747728"/>
    <w:rsid w:val="00747D9D"/>
    <w:rsid w:val="00752057"/>
    <w:rsid w:val="007574D8"/>
    <w:rsid w:val="00764D5D"/>
    <w:rsid w:val="00767729"/>
    <w:rsid w:val="0078460B"/>
    <w:rsid w:val="007A7A3C"/>
    <w:rsid w:val="007B0F7B"/>
    <w:rsid w:val="007B69CA"/>
    <w:rsid w:val="007D2178"/>
    <w:rsid w:val="007E3B71"/>
    <w:rsid w:val="007E53C7"/>
    <w:rsid w:val="007F2593"/>
    <w:rsid w:val="007F799F"/>
    <w:rsid w:val="00812DA5"/>
    <w:rsid w:val="00821866"/>
    <w:rsid w:val="00844F53"/>
    <w:rsid w:val="0085602E"/>
    <w:rsid w:val="008616B2"/>
    <w:rsid w:val="00863DC5"/>
    <w:rsid w:val="00871C75"/>
    <w:rsid w:val="00872CDF"/>
    <w:rsid w:val="00875338"/>
    <w:rsid w:val="00876DF0"/>
    <w:rsid w:val="00884904"/>
    <w:rsid w:val="00885353"/>
    <w:rsid w:val="008A373F"/>
    <w:rsid w:val="008B60EA"/>
    <w:rsid w:val="008C07AA"/>
    <w:rsid w:val="008C3934"/>
    <w:rsid w:val="008C523C"/>
    <w:rsid w:val="008C7ED2"/>
    <w:rsid w:val="008D7104"/>
    <w:rsid w:val="008F3806"/>
    <w:rsid w:val="008F4CD7"/>
    <w:rsid w:val="009014D2"/>
    <w:rsid w:val="00904EF2"/>
    <w:rsid w:val="00910E40"/>
    <w:rsid w:val="0091579D"/>
    <w:rsid w:val="00920ADC"/>
    <w:rsid w:val="00921BC3"/>
    <w:rsid w:val="009234D3"/>
    <w:rsid w:val="00946912"/>
    <w:rsid w:val="00947985"/>
    <w:rsid w:val="0096178B"/>
    <w:rsid w:val="00964254"/>
    <w:rsid w:val="00980D39"/>
    <w:rsid w:val="0098318B"/>
    <w:rsid w:val="00997BC5"/>
    <w:rsid w:val="009A09A3"/>
    <w:rsid w:val="009A0FAF"/>
    <w:rsid w:val="009A1BF1"/>
    <w:rsid w:val="009A67EE"/>
    <w:rsid w:val="009B3BD9"/>
    <w:rsid w:val="009B5855"/>
    <w:rsid w:val="009B6A83"/>
    <w:rsid w:val="009C0A62"/>
    <w:rsid w:val="009C2653"/>
    <w:rsid w:val="009D3E00"/>
    <w:rsid w:val="009D60BC"/>
    <w:rsid w:val="009D636A"/>
    <w:rsid w:val="009E7310"/>
    <w:rsid w:val="009F405E"/>
    <w:rsid w:val="009F6C1F"/>
    <w:rsid w:val="00A14216"/>
    <w:rsid w:val="00A212E6"/>
    <w:rsid w:val="00A33140"/>
    <w:rsid w:val="00A4145B"/>
    <w:rsid w:val="00A41F79"/>
    <w:rsid w:val="00A43C9D"/>
    <w:rsid w:val="00A8140C"/>
    <w:rsid w:val="00AA1BDE"/>
    <w:rsid w:val="00AB6CA3"/>
    <w:rsid w:val="00AC0318"/>
    <w:rsid w:val="00AC5146"/>
    <w:rsid w:val="00AE2F11"/>
    <w:rsid w:val="00AF1797"/>
    <w:rsid w:val="00AF69D7"/>
    <w:rsid w:val="00B102CF"/>
    <w:rsid w:val="00B17718"/>
    <w:rsid w:val="00B241CA"/>
    <w:rsid w:val="00B24735"/>
    <w:rsid w:val="00B25352"/>
    <w:rsid w:val="00B34BE9"/>
    <w:rsid w:val="00B43465"/>
    <w:rsid w:val="00B50EBE"/>
    <w:rsid w:val="00B51C5A"/>
    <w:rsid w:val="00B55FB0"/>
    <w:rsid w:val="00B628AC"/>
    <w:rsid w:val="00B7071F"/>
    <w:rsid w:val="00B71360"/>
    <w:rsid w:val="00B908F8"/>
    <w:rsid w:val="00BA01E7"/>
    <w:rsid w:val="00BA155D"/>
    <w:rsid w:val="00BB63F7"/>
    <w:rsid w:val="00BB65F9"/>
    <w:rsid w:val="00BB742D"/>
    <w:rsid w:val="00BC39DF"/>
    <w:rsid w:val="00BD1FFA"/>
    <w:rsid w:val="00BD3C9F"/>
    <w:rsid w:val="00BF6CF9"/>
    <w:rsid w:val="00C049F4"/>
    <w:rsid w:val="00C13114"/>
    <w:rsid w:val="00C23E1A"/>
    <w:rsid w:val="00C34B3A"/>
    <w:rsid w:val="00C350B8"/>
    <w:rsid w:val="00C43D4B"/>
    <w:rsid w:val="00C551F5"/>
    <w:rsid w:val="00C61C1E"/>
    <w:rsid w:val="00C63D38"/>
    <w:rsid w:val="00C7317C"/>
    <w:rsid w:val="00C74406"/>
    <w:rsid w:val="00C75BEA"/>
    <w:rsid w:val="00C920C0"/>
    <w:rsid w:val="00C928E6"/>
    <w:rsid w:val="00C9483B"/>
    <w:rsid w:val="00C9516B"/>
    <w:rsid w:val="00CA40CB"/>
    <w:rsid w:val="00CA7374"/>
    <w:rsid w:val="00CB17BF"/>
    <w:rsid w:val="00CB441B"/>
    <w:rsid w:val="00CB6EB7"/>
    <w:rsid w:val="00CC5DE1"/>
    <w:rsid w:val="00CE2578"/>
    <w:rsid w:val="00CE747C"/>
    <w:rsid w:val="00CF16EA"/>
    <w:rsid w:val="00CF504F"/>
    <w:rsid w:val="00CF59FF"/>
    <w:rsid w:val="00D028F0"/>
    <w:rsid w:val="00D1172C"/>
    <w:rsid w:val="00D13A97"/>
    <w:rsid w:val="00D1470E"/>
    <w:rsid w:val="00D16EC3"/>
    <w:rsid w:val="00D222D7"/>
    <w:rsid w:val="00D37B2F"/>
    <w:rsid w:val="00D446C2"/>
    <w:rsid w:val="00D44CA2"/>
    <w:rsid w:val="00D55F68"/>
    <w:rsid w:val="00D608CB"/>
    <w:rsid w:val="00D64A97"/>
    <w:rsid w:val="00D65EA9"/>
    <w:rsid w:val="00D7284C"/>
    <w:rsid w:val="00D80134"/>
    <w:rsid w:val="00D80E63"/>
    <w:rsid w:val="00D9122E"/>
    <w:rsid w:val="00D942BF"/>
    <w:rsid w:val="00D97598"/>
    <w:rsid w:val="00DB021F"/>
    <w:rsid w:val="00DC1B48"/>
    <w:rsid w:val="00DD0E2A"/>
    <w:rsid w:val="00DE64D0"/>
    <w:rsid w:val="00DE7BF6"/>
    <w:rsid w:val="00E02480"/>
    <w:rsid w:val="00E0709F"/>
    <w:rsid w:val="00E11228"/>
    <w:rsid w:val="00E12B78"/>
    <w:rsid w:val="00E130FA"/>
    <w:rsid w:val="00E15004"/>
    <w:rsid w:val="00E21416"/>
    <w:rsid w:val="00E21F98"/>
    <w:rsid w:val="00E51980"/>
    <w:rsid w:val="00E51D4F"/>
    <w:rsid w:val="00E54938"/>
    <w:rsid w:val="00E56C96"/>
    <w:rsid w:val="00E57B00"/>
    <w:rsid w:val="00E724C7"/>
    <w:rsid w:val="00E76B14"/>
    <w:rsid w:val="00E91EED"/>
    <w:rsid w:val="00E92C06"/>
    <w:rsid w:val="00EC0613"/>
    <w:rsid w:val="00EC5EA4"/>
    <w:rsid w:val="00ED0D7C"/>
    <w:rsid w:val="00ED3CD3"/>
    <w:rsid w:val="00EE6810"/>
    <w:rsid w:val="00EF0B2B"/>
    <w:rsid w:val="00F037C5"/>
    <w:rsid w:val="00F04906"/>
    <w:rsid w:val="00F13574"/>
    <w:rsid w:val="00F168CD"/>
    <w:rsid w:val="00F2181F"/>
    <w:rsid w:val="00F22DD5"/>
    <w:rsid w:val="00F34715"/>
    <w:rsid w:val="00F43E23"/>
    <w:rsid w:val="00F45AE7"/>
    <w:rsid w:val="00F45EBB"/>
    <w:rsid w:val="00F5110B"/>
    <w:rsid w:val="00F57472"/>
    <w:rsid w:val="00F63788"/>
    <w:rsid w:val="00F74A4F"/>
    <w:rsid w:val="00F91B9E"/>
    <w:rsid w:val="00FA17E9"/>
    <w:rsid w:val="00FA4D09"/>
    <w:rsid w:val="00FB34DB"/>
    <w:rsid w:val="00FB77BB"/>
    <w:rsid w:val="00FB7814"/>
    <w:rsid w:val="00FD10CA"/>
    <w:rsid w:val="00FD7114"/>
    <w:rsid w:val="00FE11CE"/>
    <w:rsid w:val="031A316B"/>
    <w:rsid w:val="031F30C0"/>
    <w:rsid w:val="03B24A6F"/>
    <w:rsid w:val="040B79B6"/>
    <w:rsid w:val="054E7894"/>
    <w:rsid w:val="05E90218"/>
    <w:rsid w:val="05F2763F"/>
    <w:rsid w:val="06AC4F81"/>
    <w:rsid w:val="0738497D"/>
    <w:rsid w:val="07386B10"/>
    <w:rsid w:val="07746147"/>
    <w:rsid w:val="080E1651"/>
    <w:rsid w:val="08400110"/>
    <w:rsid w:val="084F7408"/>
    <w:rsid w:val="08E035F1"/>
    <w:rsid w:val="0AF120F5"/>
    <w:rsid w:val="0B066BDE"/>
    <w:rsid w:val="0C387EE6"/>
    <w:rsid w:val="0DF90EC1"/>
    <w:rsid w:val="0DFB16A0"/>
    <w:rsid w:val="0EA2798B"/>
    <w:rsid w:val="0EE443C9"/>
    <w:rsid w:val="0F1934F3"/>
    <w:rsid w:val="0F283E91"/>
    <w:rsid w:val="0FC253F0"/>
    <w:rsid w:val="101560EC"/>
    <w:rsid w:val="10551330"/>
    <w:rsid w:val="10A2771F"/>
    <w:rsid w:val="11701D72"/>
    <w:rsid w:val="11CA624B"/>
    <w:rsid w:val="11CF1368"/>
    <w:rsid w:val="1250481A"/>
    <w:rsid w:val="13AB5FB1"/>
    <w:rsid w:val="13CA3E07"/>
    <w:rsid w:val="162F64B9"/>
    <w:rsid w:val="165A6AFF"/>
    <w:rsid w:val="17A156D3"/>
    <w:rsid w:val="19024A0E"/>
    <w:rsid w:val="194B5CA6"/>
    <w:rsid w:val="196A2FFD"/>
    <w:rsid w:val="197A2B82"/>
    <w:rsid w:val="19F35E84"/>
    <w:rsid w:val="1A0F47FB"/>
    <w:rsid w:val="1C8C3077"/>
    <w:rsid w:val="1CA239A2"/>
    <w:rsid w:val="1F44067D"/>
    <w:rsid w:val="202662E4"/>
    <w:rsid w:val="20BE70C3"/>
    <w:rsid w:val="210D01A6"/>
    <w:rsid w:val="21A0503D"/>
    <w:rsid w:val="21A84E49"/>
    <w:rsid w:val="21AE3E44"/>
    <w:rsid w:val="21C8028B"/>
    <w:rsid w:val="2214730D"/>
    <w:rsid w:val="22AE49CA"/>
    <w:rsid w:val="22D14CF3"/>
    <w:rsid w:val="23E97879"/>
    <w:rsid w:val="23F92245"/>
    <w:rsid w:val="241720A9"/>
    <w:rsid w:val="250141DC"/>
    <w:rsid w:val="25E47B9B"/>
    <w:rsid w:val="263104B3"/>
    <w:rsid w:val="26780B2A"/>
    <w:rsid w:val="268B1563"/>
    <w:rsid w:val="26D861D4"/>
    <w:rsid w:val="27707C0F"/>
    <w:rsid w:val="27826CC7"/>
    <w:rsid w:val="27925BB3"/>
    <w:rsid w:val="27F9283F"/>
    <w:rsid w:val="28695866"/>
    <w:rsid w:val="28EB2884"/>
    <w:rsid w:val="292C758D"/>
    <w:rsid w:val="29583AE7"/>
    <w:rsid w:val="297F1671"/>
    <w:rsid w:val="2AB02D53"/>
    <w:rsid w:val="2B5534CD"/>
    <w:rsid w:val="2D0B418E"/>
    <w:rsid w:val="2E0738C0"/>
    <w:rsid w:val="2EA557CD"/>
    <w:rsid w:val="2FFA4BB4"/>
    <w:rsid w:val="30A81508"/>
    <w:rsid w:val="30FB7909"/>
    <w:rsid w:val="31185475"/>
    <w:rsid w:val="312C32C7"/>
    <w:rsid w:val="317968D4"/>
    <w:rsid w:val="319C645D"/>
    <w:rsid w:val="31BA7BE7"/>
    <w:rsid w:val="32DA4DC4"/>
    <w:rsid w:val="33CF2172"/>
    <w:rsid w:val="33E66EB8"/>
    <w:rsid w:val="342766E9"/>
    <w:rsid w:val="3466399B"/>
    <w:rsid w:val="349910D8"/>
    <w:rsid w:val="36B4127A"/>
    <w:rsid w:val="36DD2FD0"/>
    <w:rsid w:val="370771C6"/>
    <w:rsid w:val="37465815"/>
    <w:rsid w:val="378879BD"/>
    <w:rsid w:val="37E6715E"/>
    <w:rsid w:val="37E7677A"/>
    <w:rsid w:val="39740349"/>
    <w:rsid w:val="39831AD2"/>
    <w:rsid w:val="39B00BB6"/>
    <w:rsid w:val="3A5D68D4"/>
    <w:rsid w:val="3A912EAB"/>
    <w:rsid w:val="3B8E3E5B"/>
    <w:rsid w:val="3C263168"/>
    <w:rsid w:val="3CEC351B"/>
    <w:rsid w:val="3DD33F80"/>
    <w:rsid w:val="3E56189A"/>
    <w:rsid w:val="3E7D4993"/>
    <w:rsid w:val="3ECC6A84"/>
    <w:rsid w:val="40074F6B"/>
    <w:rsid w:val="404252B0"/>
    <w:rsid w:val="409A76E8"/>
    <w:rsid w:val="413C077C"/>
    <w:rsid w:val="43BD7311"/>
    <w:rsid w:val="44CE30F4"/>
    <w:rsid w:val="44F368BA"/>
    <w:rsid w:val="456B2C68"/>
    <w:rsid w:val="469E05EF"/>
    <w:rsid w:val="47002139"/>
    <w:rsid w:val="48593114"/>
    <w:rsid w:val="48A93E36"/>
    <w:rsid w:val="48E44A08"/>
    <w:rsid w:val="49A24BFF"/>
    <w:rsid w:val="4A6A14FD"/>
    <w:rsid w:val="4A85388A"/>
    <w:rsid w:val="4B8F4D36"/>
    <w:rsid w:val="4BED3323"/>
    <w:rsid w:val="4D6B111A"/>
    <w:rsid w:val="4E9552B5"/>
    <w:rsid w:val="50F5172E"/>
    <w:rsid w:val="51CE63BC"/>
    <w:rsid w:val="520E7372"/>
    <w:rsid w:val="528A7533"/>
    <w:rsid w:val="52E26F2F"/>
    <w:rsid w:val="53375F4D"/>
    <w:rsid w:val="54483B8F"/>
    <w:rsid w:val="54B668BD"/>
    <w:rsid w:val="55F13747"/>
    <w:rsid w:val="564A537F"/>
    <w:rsid w:val="56CD35B9"/>
    <w:rsid w:val="57FC5401"/>
    <w:rsid w:val="58444891"/>
    <w:rsid w:val="58AA2B0D"/>
    <w:rsid w:val="5A065F3C"/>
    <w:rsid w:val="5A0C2A86"/>
    <w:rsid w:val="5A54435A"/>
    <w:rsid w:val="5A9A2C27"/>
    <w:rsid w:val="5B865914"/>
    <w:rsid w:val="5C3576BA"/>
    <w:rsid w:val="5D9C14B8"/>
    <w:rsid w:val="5E07443B"/>
    <w:rsid w:val="5F064C39"/>
    <w:rsid w:val="5F6F2BE0"/>
    <w:rsid w:val="5FDF4869"/>
    <w:rsid w:val="602805E2"/>
    <w:rsid w:val="60357352"/>
    <w:rsid w:val="6153284C"/>
    <w:rsid w:val="61577FE0"/>
    <w:rsid w:val="61CD43FD"/>
    <w:rsid w:val="61D314C6"/>
    <w:rsid w:val="6210409C"/>
    <w:rsid w:val="622310B1"/>
    <w:rsid w:val="63AE7C64"/>
    <w:rsid w:val="63FA124E"/>
    <w:rsid w:val="6445791E"/>
    <w:rsid w:val="64C07EAB"/>
    <w:rsid w:val="65AB2219"/>
    <w:rsid w:val="67DA277D"/>
    <w:rsid w:val="68501D3B"/>
    <w:rsid w:val="689820E0"/>
    <w:rsid w:val="69420D48"/>
    <w:rsid w:val="69BE5FF4"/>
    <w:rsid w:val="69FD4741"/>
    <w:rsid w:val="6A32763C"/>
    <w:rsid w:val="6A8769F5"/>
    <w:rsid w:val="6ABD51A1"/>
    <w:rsid w:val="6AC02F9B"/>
    <w:rsid w:val="6B1E0F74"/>
    <w:rsid w:val="6B582C20"/>
    <w:rsid w:val="6DAC56CB"/>
    <w:rsid w:val="6E183894"/>
    <w:rsid w:val="6E4C2799"/>
    <w:rsid w:val="6E7021E9"/>
    <w:rsid w:val="6F014A66"/>
    <w:rsid w:val="6F3A3662"/>
    <w:rsid w:val="6F4B4415"/>
    <w:rsid w:val="70596ED1"/>
    <w:rsid w:val="706718D6"/>
    <w:rsid w:val="713B5567"/>
    <w:rsid w:val="71B20583"/>
    <w:rsid w:val="727E1BDC"/>
    <w:rsid w:val="75004DBE"/>
    <w:rsid w:val="75436DA4"/>
    <w:rsid w:val="754D624F"/>
    <w:rsid w:val="76377EE6"/>
    <w:rsid w:val="76A95FE5"/>
    <w:rsid w:val="77175D9A"/>
    <w:rsid w:val="78025A7A"/>
    <w:rsid w:val="79C543D6"/>
    <w:rsid w:val="7C024A97"/>
    <w:rsid w:val="7C346FA2"/>
    <w:rsid w:val="7C4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0"/>
    <w:rPr>
      <w:color w:val="0000FF"/>
      <w:u w:val="single"/>
    </w:rPr>
  </w:style>
  <w:style w:type="character" w:customStyle="1" w:styleId="12">
    <w:name w:val="页脚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9"/>
    <w:link w:val="7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二级条标题"/>
    <w:basedOn w:val="1"/>
    <w:next w:val="1"/>
    <w:uiPriority w:val="0"/>
    <w:pPr>
      <w:widowControl/>
      <w:numPr>
        <w:ilvl w:val="2"/>
        <w:numId w:val="1"/>
      </w:numPr>
      <w:spacing w:before="50" w:beforeLines="50" w:after="50" w:afterLines="50"/>
      <w:jc w:val="left"/>
      <w:outlineLvl w:val="3"/>
    </w:pPr>
    <w:rPr>
      <w:rFonts w:hint="eastAsia" w:ascii="黑体" w:eastAsia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5</Pages>
  <Words>388</Words>
  <Characters>2216</Characters>
  <Lines>18</Lines>
  <Paragraphs>5</Paragraphs>
  <TotalTime>6</TotalTime>
  <ScaleCrop>false</ScaleCrop>
  <LinksUpToDate>false</LinksUpToDate>
  <CharactersWithSpaces>2599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2019-09-16T02:40:00Z</dcterms:created>
  <dc:creator>NOT NULL</dc:creator>
  <cp:lastModifiedBy>WPS_1602300979</cp:lastModifiedBy>
  <cp:lastPrinted>2022-12-06T08:23:00Z</cp:lastPrinted>
  <dcterms:modified xsi:type="dcterms:W3CDTF">2023-09-22T07:59:55Z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72ABAD04A01F455CA3658D6FC7068572</vt:lpwstr>
  </property>
</Properties>
</file>